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6A" w:rsidRDefault="00C824D4">
      <w:pPr>
        <w:ind w:left="0"/>
        <w:jc w:val="left"/>
        <w:rPr>
          <w:rFonts w:ascii="Century" w:hAnsi="Century"/>
          <w:b/>
          <w:i/>
          <w:color w:val="943634" w:themeColor="accent2" w:themeShade="BF"/>
          <w:sz w:val="56"/>
          <w:szCs w:val="56"/>
        </w:rPr>
      </w:pPr>
      <w:r>
        <w:rPr>
          <w:rFonts w:ascii="Century" w:hAnsi="Century"/>
          <w:b/>
          <w:i/>
          <w:noProof/>
          <w:color w:val="943634" w:themeColor="accent2" w:themeShade="BF"/>
          <w:sz w:val="56"/>
          <w:szCs w:val="56"/>
        </w:rPr>
        <w:pict>
          <v:group id="_x0000_s1026" style="position:absolute;margin-left:367.85pt;margin-top:-90.6pt;width:235.15pt;height:926.8pt;z-index:251660288;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f81bd [3204]" strokecolor="#f2f2f2 [3041]" strokeweight="3pt">
                <v:fill rotate="t"/>
                <v:shadow on="t" type="perspective" color="#243f60 [1604]" opacity=".5" offset="1pt" offset2="-1p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AB606A" w:rsidRPr="00F103BF" w:rsidRDefault="00AB606A" w:rsidP="00AB606A">
                    <w:pPr>
                      <w:pStyle w:val="Sansinterligne"/>
                      <w:ind w:left="426"/>
                      <w:rPr>
                        <w:rFonts w:asciiTheme="majorHAnsi" w:eastAsiaTheme="majorEastAsia" w:hAnsiTheme="majorHAnsi" w:cstheme="majorBidi"/>
                        <w:b/>
                        <w:bCs/>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AB606A" w:rsidRDefault="006B6314" w:rsidP="00AB606A">
                    <w:pPr>
                      <w:pStyle w:val="Sansinterligne"/>
                      <w:spacing w:line="360" w:lineRule="auto"/>
                      <w:rPr>
                        <w:color w:val="FFFFFF" w:themeColor="background1"/>
                        <w:sz w:val="32"/>
                        <w:szCs w:val="32"/>
                      </w:rPr>
                    </w:pPr>
                    <w:r>
                      <w:rPr>
                        <w:color w:val="FFFFFF" w:themeColor="background1"/>
                        <w:sz w:val="32"/>
                        <w:szCs w:val="32"/>
                      </w:rPr>
                      <w:t>Yves CLERC</w:t>
                    </w:r>
                  </w:p>
                  <w:p w:rsidR="006B6314" w:rsidRPr="006B6314" w:rsidRDefault="006B6314" w:rsidP="006B6314">
                    <w:pPr>
                      <w:pStyle w:val="Sansinterligne"/>
                      <w:numPr>
                        <w:ilvl w:val="0"/>
                        <w:numId w:val="29"/>
                      </w:numPr>
                      <w:rPr>
                        <w:color w:val="FFFFFF" w:themeColor="background1"/>
                        <w:sz w:val="18"/>
                        <w:szCs w:val="18"/>
                      </w:rPr>
                    </w:pPr>
                    <w:r w:rsidRPr="006B6314">
                      <w:rPr>
                        <w:color w:val="FFFFFF" w:themeColor="background1"/>
                        <w:sz w:val="18"/>
                        <w:szCs w:val="18"/>
                      </w:rPr>
                      <w:t>Diplômé notaire</w:t>
                    </w:r>
                  </w:p>
                  <w:p w:rsidR="006B6314" w:rsidRPr="006B6314" w:rsidRDefault="006B6314" w:rsidP="006B6314">
                    <w:pPr>
                      <w:pStyle w:val="Sansinterligne"/>
                      <w:numPr>
                        <w:ilvl w:val="0"/>
                        <w:numId w:val="29"/>
                      </w:numPr>
                      <w:rPr>
                        <w:color w:val="FFFFFF" w:themeColor="background1"/>
                        <w:sz w:val="18"/>
                        <w:szCs w:val="18"/>
                      </w:rPr>
                    </w:pPr>
                    <w:r w:rsidRPr="006B6314">
                      <w:rPr>
                        <w:color w:val="FFFFFF" w:themeColor="background1"/>
                        <w:sz w:val="18"/>
                        <w:szCs w:val="18"/>
                      </w:rPr>
                      <w:t>Expert près de la Cour d’Appel de BESANCON</w:t>
                    </w:r>
                  </w:p>
                  <w:p w:rsidR="006B6314" w:rsidRDefault="006B6314" w:rsidP="006B6314">
                    <w:pPr>
                      <w:pStyle w:val="Sansinterligne"/>
                      <w:numPr>
                        <w:ilvl w:val="0"/>
                        <w:numId w:val="29"/>
                      </w:numPr>
                      <w:rPr>
                        <w:color w:val="FFFFFF" w:themeColor="background1"/>
                        <w:sz w:val="18"/>
                        <w:szCs w:val="18"/>
                      </w:rPr>
                    </w:pPr>
                    <w:r w:rsidRPr="006B6314">
                      <w:rPr>
                        <w:color w:val="FFFFFF" w:themeColor="background1"/>
                        <w:sz w:val="18"/>
                        <w:szCs w:val="18"/>
                      </w:rPr>
                      <w:t>Membre de la Compagnie Nationale des Experts judiciaires en évaluation Immobilière</w:t>
                    </w:r>
                  </w:p>
                  <w:p w:rsidR="006B6314" w:rsidRDefault="006B6314" w:rsidP="006B6314">
                    <w:pPr>
                      <w:pStyle w:val="Sansinterligne"/>
                      <w:numPr>
                        <w:ilvl w:val="0"/>
                        <w:numId w:val="29"/>
                      </w:numPr>
                      <w:rPr>
                        <w:color w:val="FFFFFF" w:themeColor="background1"/>
                        <w:sz w:val="18"/>
                        <w:szCs w:val="18"/>
                      </w:rPr>
                    </w:pPr>
                    <w:r>
                      <w:rPr>
                        <w:color w:val="FFFFFF" w:themeColor="background1"/>
                        <w:sz w:val="18"/>
                        <w:szCs w:val="18"/>
                      </w:rPr>
                      <w:t>Membre de l’UNIS</w:t>
                    </w:r>
                  </w:p>
                  <w:p w:rsidR="006B6314" w:rsidRDefault="006B6314" w:rsidP="006B6314">
                    <w:pPr>
                      <w:pStyle w:val="Sansinterligne"/>
                      <w:numPr>
                        <w:ilvl w:val="0"/>
                        <w:numId w:val="29"/>
                      </w:numPr>
                      <w:rPr>
                        <w:color w:val="FFFFFF" w:themeColor="background1"/>
                        <w:sz w:val="18"/>
                        <w:szCs w:val="18"/>
                      </w:rPr>
                    </w:pPr>
                    <w:r>
                      <w:rPr>
                        <w:color w:val="FFFFFF" w:themeColor="background1"/>
                        <w:sz w:val="18"/>
                        <w:szCs w:val="18"/>
                      </w:rPr>
                      <w:t>Gérant de France Investissement</w:t>
                    </w:r>
                  </w:p>
                  <w:p w:rsidR="006067D7" w:rsidRDefault="006067D7" w:rsidP="00F6539F">
                    <w:pPr>
                      <w:pStyle w:val="Sansinterligne"/>
                      <w:ind w:left="720"/>
                      <w:rPr>
                        <w:color w:val="FFFFFF" w:themeColor="background1"/>
                        <w:sz w:val="18"/>
                        <w:szCs w:val="18"/>
                      </w:rPr>
                    </w:pPr>
                  </w:p>
                  <w:p w:rsidR="006067D7" w:rsidRPr="006067D7" w:rsidRDefault="006067D7" w:rsidP="006067D7">
                    <w:pPr>
                      <w:pStyle w:val="Sansinterligne"/>
                      <w:rPr>
                        <w:b/>
                        <w:color w:val="FFFFFF" w:themeColor="background1"/>
                        <w:sz w:val="24"/>
                        <w:szCs w:val="24"/>
                      </w:rPr>
                    </w:pPr>
                    <w:r w:rsidRPr="006067D7">
                      <w:rPr>
                        <w:b/>
                        <w:color w:val="FFFFFF" w:themeColor="background1"/>
                        <w:sz w:val="24"/>
                        <w:szCs w:val="24"/>
                      </w:rPr>
                      <w:t>FRANCE.INVESTISSEMENT</w:t>
                    </w:r>
                  </w:p>
                  <w:p w:rsidR="006067D7" w:rsidRPr="006067D7" w:rsidRDefault="006067D7" w:rsidP="006067D7">
                    <w:pPr>
                      <w:pStyle w:val="Sansinterligne"/>
                      <w:rPr>
                        <w:b/>
                        <w:color w:val="FFFFFF" w:themeColor="background1"/>
                        <w:sz w:val="24"/>
                        <w:szCs w:val="24"/>
                      </w:rPr>
                    </w:pPr>
                    <w:r w:rsidRPr="006067D7">
                      <w:rPr>
                        <w:b/>
                        <w:color w:val="FFFFFF" w:themeColor="background1"/>
                        <w:sz w:val="24"/>
                        <w:szCs w:val="24"/>
                      </w:rPr>
                      <w:t>8 Rue du Collège de l’Arc</w:t>
                    </w:r>
                  </w:p>
                  <w:p w:rsidR="006067D7" w:rsidRDefault="006067D7" w:rsidP="006067D7">
                    <w:pPr>
                      <w:pStyle w:val="Sansinterligne"/>
                      <w:rPr>
                        <w:b/>
                        <w:color w:val="FFFFFF" w:themeColor="background1"/>
                        <w:sz w:val="24"/>
                        <w:szCs w:val="24"/>
                      </w:rPr>
                    </w:pPr>
                    <w:r w:rsidRPr="006067D7">
                      <w:rPr>
                        <w:b/>
                        <w:color w:val="FFFFFF" w:themeColor="background1"/>
                        <w:sz w:val="24"/>
                        <w:szCs w:val="24"/>
                      </w:rPr>
                      <w:t>39100 DOLE</w:t>
                    </w:r>
                  </w:p>
                  <w:p w:rsidR="006067D7" w:rsidRPr="006067D7" w:rsidRDefault="006067D7" w:rsidP="006067D7">
                    <w:pPr>
                      <w:pStyle w:val="Sansinterligne"/>
                      <w:rPr>
                        <w:b/>
                        <w:color w:val="FFFFFF" w:themeColor="background1"/>
                        <w:sz w:val="24"/>
                        <w:szCs w:val="24"/>
                      </w:rPr>
                    </w:pPr>
                    <w:r w:rsidRPr="006067D7">
                      <w:rPr>
                        <w:b/>
                        <w:color w:val="FFFFFF" w:themeColor="background1"/>
                        <w:sz w:val="24"/>
                        <w:szCs w:val="24"/>
                      </w:rPr>
                      <w:t xml:space="preserve">Tel </w:t>
                    </w:r>
                    <w:r w:rsidR="00F6539F">
                      <w:rPr>
                        <w:b/>
                        <w:color w:val="FFFFFF" w:themeColor="background1"/>
                        <w:sz w:val="24"/>
                        <w:szCs w:val="24"/>
                      </w:rPr>
                      <w:t>03 84 69 00 44</w:t>
                    </w:r>
                  </w:p>
                  <w:p w:rsidR="006067D7" w:rsidRDefault="006067D7" w:rsidP="006067D7">
                    <w:pPr>
                      <w:pStyle w:val="Sansinterligne"/>
                      <w:rPr>
                        <w:b/>
                        <w:color w:val="FFFFFF" w:themeColor="background1"/>
                        <w:sz w:val="24"/>
                        <w:szCs w:val="24"/>
                      </w:rPr>
                    </w:pPr>
                    <w:r w:rsidRPr="006067D7">
                      <w:rPr>
                        <w:b/>
                        <w:color w:val="FFFFFF" w:themeColor="background1"/>
                        <w:sz w:val="24"/>
                        <w:szCs w:val="24"/>
                      </w:rPr>
                      <w:t>f-investissements</w:t>
                    </w:r>
                    <w:r>
                      <w:rPr>
                        <w:b/>
                        <w:color w:val="FFFFFF" w:themeColor="background1"/>
                        <w:sz w:val="24"/>
                        <w:szCs w:val="24"/>
                      </w:rPr>
                      <w:t>.com</w:t>
                    </w:r>
                  </w:p>
                  <w:p w:rsidR="006067D7" w:rsidRDefault="006067D7" w:rsidP="006067D7">
                    <w:pPr>
                      <w:pStyle w:val="Sansinterligne"/>
                      <w:rPr>
                        <w:b/>
                        <w:color w:val="FFFFFF" w:themeColor="background1"/>
                        <w:sz w:val="24"/>
                        <w:szCs w:val="24"/>
                      </w:rPr>
                    </w:pPr>
                  </w:p>
                  <w:p w:rsidR="006067D7" w:rsidRPr="006067D7" w:rsidRDefault="006067D7" w:rsidP="006067D7">
                    <w:pPr>
                      <w:pStyle w:val="Sansinterligne"/>
                      <w:rPr>
                        <w:b/>
                        <w:color w:val="FFFFFF" w:themeColor="background1"/>
                        <w:sz w:val="24"/>
                        <w:szCs w:val="24"/>
                      </w:rPr>
                    </w:pPr>
                  </w:p>
                  <w:p w:rsidR="006067D7" w:rsidRPr="00536003" w:rsidRDefault="006067D7" w:rsidP="00AB606A">
                    <w:pPr>
                      <w:pStyle w:val="Sansinterligne"/>
                      <w:spacing w:line="360" w:lineRule="auto"/>
                      <w:rPr>
                        <w:color w:val="FFFFFF" w:themeColor="background1"/>
                        <w:sz w:val="32"/>
                        <w:szCs w:val="32"/>
                      </w:rPr>
                    </w:pPr>
                  </w:p>
                </w:txbxContent>
              </v:textbox>
            </v:rect>
            <w10:wrap anchorx="page" anchory="page"/>
          </v:group>
        </w:pict>
      </w:r>
      <w:r>
        <w:rPr>
          <w:rFonts w:ascii="Century" w:hAnsi="Century"/>
          <w:b/>
          <w:i/>
          <w:noProof/>
          <w:color w:val="943634" w:themeColor="accent2" w:themeShade="BF"/>
          <w:sz w:val="56"/>
          <w:szCs w:val="56"/>
        </w:rPr>
        <w:pict>
          <v:rect id="_x0000_s1032" style="position:absolute;margin-left:26.8pt;margin-top:171.4pt;width:481.35pt;height:41.05pt;z-index:251661312;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2;mso-fit-shape-to-text:t" inset="14.4pt,,14.4pt">
              <w:txbxContent>
                <w:p w:rsidR="00AB606A" w:rsidRPr="007B3421" w:rsidRDefault="007B3421" w:rsidP="00AB606A">
                  <w:pPr>
                    <w:pStyle w:val="Sansinterligne"/>
                    <w:jc w:val="right"/>
                    <w:rPr>
                      <w:rFonts w:asciiTheme="majorHAnsi" w:eastAsiaTheme="majorEastAsia" w:hAnsiTheme="majorHAnsi" w:cstheme="majorBidi"/>
                      <w:color w:val="FFFFFF" w:themeColor="background1"/>
                      <w:sz w:val="56"/>
                      <w:szCs w:val="56"/>
                    </w:rPr>
                  </w:pPr>
                  <w:r w:rsidRPr="007B3421">
                    <w:rPr>
                      <w:rFonts w:asciiTheme="majorHAnsi" w:eastAsiaTheme="majorEastAsia" w:hAnsiTheme="majorHAnsi" w:cstheme="majorBidi"/>
                      <w:color w:val="FFFFFF" w:themeColor="background1"/>
                      <w:sz w:val="56"/>
                      <w:szCs w:val="56"/>
                    </w:rPr>
                    <w:t>Fiscalité des Monuments historiques</w:t>
                  </w:r>
                </w:p>
              </w:txbxContent>
            </v:textbox>
            <w10:wrap anchorx="page" anchory="page"/>
          </v:rect>
        </w:pict>
      </w:r>
      <w:r w:rsidR="00AB606A">
        <w:rPr>
          <w:rFonts w:ascii="Century" w:hAnsi="Century"/>
          <w:b/>
          <w:i/>
          <w:color w:val="943634" w:themeColor="accent2" w:themeShade="BF"/>
          <w:sz w:val="56"/>
          <w:szCs w:val="56"/>
        </w:rPr>
        <w:br w:type="page"/>
      </w:r>
      <w:r w:rsidR="007B3421" w:rsidRPr="007B3421">
        <w:rPr>
          <w:rFonts w:ascii="Century" w:hAnsi="Century"/>
          <w:b/>
          <w:i/>
          <w:noProof/>
          <w:color w:val="943634" w:themeColor="accent2" w:themeShade="BF"/>
          <w:sz w:val="56"/>
          <w:szCs w:val="56"/>
        </w:rPr>
        <w:drawing>
          <wp:anchor distT="0" distB="0" distL="114300" distR="114300" simplePos="0" relativeHeight="251663360" behindDoc="0" locked="0" layoutInCell="1" allowOverlap="1">
            <wp:simplePos x="0" y="0"/>
            <wp:positionH relativeFrom="column">
              <wp:posOffset>106045</wp:posOffset>
            </wp:positionH>
            <wp:positionV relativeFrom="paragraph">
              <wp:posOffset>2493645</wp:posOffset>
            </wp:positionV>
            <wp:extent cx="3810000" cy="2346960"/>
            <wp:effectExtent l="0" t="0" r="0" b="0"/>
            <wp:wrapNone/>
            <wp:docPr id="2" name="Image 7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0" cstate="print"/>
                    <a:stretch>
                      <a:fillRect/>
                    </a:stretch>
                  </pic:blipFill>
                  <pic:spPr>
                    <a:xfrm>
                      <a:off x="0" y="0"/>
                      <a:ext cx="3810000" cy="2346960"/>
                    </a:xfrm>
                    <a:prstGeom prst="rect">
                      <a:avLst/>
                    </a:prstGeom>
                  </pic:spPr>
                </pic:pic>
              </a:graphicData>
            </a:graphic>
          </wp:anchor>
        </w:drawing>
      </w:r>
    </w:p>
    <w:p w:rsidR="00E46035" w:rsidRDefault="00E46035">
      <w:pPr>
        <w:pStyle w:val="TM1"/>
        <w:tabs>
          <w:tab w:val="left" w:pos="440"/>
          <w:tab w:val="right" w:leader="underscore" w:pos="9913"/>
        </w:tabs>
        <w:rPr>
          <w:rFonts w:ascii="Century" w:hAnsi="Century"/>
          <w:b w:val="0"/>
          <w:i w:val="0"/>
          <w:color w:val="943634" w:themeColor="accent2" w:themeShade="BF"/>
          <w:sz w:val="56"/>
          <w:szCs w:val="56"/>
        </w:rPr>
      </w:pPr>
    </w:p>
    <w:p w:rsidR="00E46035" w:rsidRDefault="00C824D4">
      <w:pPr>
        <w:pStyle w:val="TM1"/>
        <w:tabs>
          <w:tab w:val="left" w:pos="440"/>
          <w:tab w:val="right" w:leader="underscore" w:pos="9913"/>
        </w:tabs>
        <w:rPr>
          <w:rFonts w:ascii="Century" w:hAnsi="Century"/>
          <w:b w:val="0"/>
          <w:i w:val="0"/>
          <w:color w:val="943634" w:themeColor="accent2" w:themeShade="BF"/>
          <w:sz w:val="56"/>
          <w:szCs w:val="56"/>
        </w:rPr>
      </w:pPr>
      <w:r>
        <w:rPr>
          <w:rFonts w:ascii="Century" w:hAnsi="Century"/>
          <w:b w:val="0"/>
          <w:i w:val="0"/>
          <w:noProof/>
          <w:color w:val="943634" w:themeColor="accent2" w:themeShade="BF"/>
          <w:sz w:val="56"/>
          <w:szCs w:val="56"/>
        </w:rPr>
        <w:pict>
          <v:shapetype id="_x0000_t202" coordsize="21600,21600" o:spt="202" path="m,l,21600r21600,l21600,xe">
            <v:stroke joinstyle="miter"/>
            <v:path gradientshapeok="t" o:connecttype="rect"/>
          </v:shapetype>
          <v:shape id="_x0000_s1034" type="#_x0000_t202" style="position:absolute;margin-left:64.15pt;margin-top:-24pt;width:413.4pt;height:75.6pt;z-index:251666432;mso-width-relative:margin;mso-height-relative:margin" strokecolor="white [3212]" strokeweight="0">
            <v:textbox>
              <w:txbxContent>
                <w:p w:rsidR="00E46035" w:rsidRPr="00E46035" w:rsidRDefault="00E46035" w:rsidP="00E46035">
                  <w:pPr>
                    <w:spacing w:after="0"/>
                    <w:ind w:left="431"/>
                    <w:jc w:val="center"/>
                    <w:rPr>
                      <w:rFonts w:ascii="Century" w:hAnsi="Century"/>
                      <w:b/>
                      <w:i/>
                      <w:color w:val="943634" w:themeColor="accent2" w:themeShade="BF"/>
                      <w:sz w:val="28"/>
                      <w:szCs w:val="28"/>
                    </w:rPr>
                  </w:pPr>
                  <w:r w:rsidRPr="00E46035">
                    <w:rPr>
                      <w:rFonts w:ascii="Century" w:hAnsi="Century"/>
                      <w:b/>
                      <w:i/>
                      <w:color w:val="943634" w:themeColor="accent2" w:themeShade="BF"/>
                      <w:sz w:val="28"/>
                      <w:szCs w:val="28"/>
                    </w:rPr>
                    <w:t>Régime des Monuments historiques et assimilés</w:t>
                  </w:r>
                </w:p>
                <w:p w:rsidR="00E46035" w:rsidRPr="00E46035" w:rsidRDefault="00E46035" w:rsidP="00E46035">
                  <w:pPr>
                    <w:spacing w:after="0"/>
                    <w:ind w:left="431"/>
                    <w:jc w:val="center"/>
                    <w:rPr>
                      <w:rFonts w:ascii="Century" w:hAnsi="Century"/>
                      <w:b/>
                      <w:i/>
                      <w:color w:val="943634" w:themeColor="accent2" w:themeShade="BF"/>
                      <w:sz w:val="36"/>
                      <w:szCs w:val="36"/>
                    </w:rPr>
                  </w:pPr>
                  <w:r w:rsidRPr="00E46035">
                    <w:rPr>
                      <w:rFonts w:ascii="Century" w:hAnsi="Century"/>
                      <w:b/>
                      <w:i/>
                      <w:color w:val="943634" w:themeColor="accent2" w:themeShade="BF"/>
                      <w:sz w:val="36"/>
                      <w:szCs w:val="36"/>
                    </w:rPr>
                    <w:t>Sommaire</w:t>
                  </w:r>
                </w:p>
              </w:txbxContent>
            </v:textbox>
          </v:shape>
        </w:pict>
      </w:r>
    </w:p>
    <w:p w:rsidR="00B11F50" w:rsidRDefault="00C824D4">
      <w:pPr>
        <w:pStyle w:val="TM1"/>
        <w:tabs>
          <w:tab w:val="left" w:pos="440"/>
          <w:tab w:val="right" w:leader="underscore" w:pos="9913"/>
        </w:tabs>
        <w:rPr>
          <w:rFonts w:eastAsiaTheme="minorEastAsia" w:cstheme="minorBidi"/>
          <w:b w:val="0"/>
          <w:bCs w:val="0"/>
          <w:i w:val="0"/>
          <w:iCs w:val="0"/>
          <w:noProof/>
          <w:sz w:val="22"/>
          <w:szCs w:val="22"/>
        </w:rPr>
      </w:pPr>
      <w:r w:rsidRPr="00C824D4">
        <w:rPr>
          <w:rFonts w:ascii="Century" w:hAnsi="Century"/>
          <w:b w:val="0"/>
          <w:i w:val="0"/>
          <w:color w:val="943634" w:themeColor="accent2" w:themeShade="BF"/>
          <w:sz w:val="56"/>
          <w:szCs w:val="56"/>
        </w:rPr>
        <w:fldChar w:fldCharType="begin"/>
      </w:r>
      <w:r w:rsidR="000841D7">
        <w:rPr>
          <w:rFonts w:ascii="Century" w:hAnsi="Century"/>
          <w:b w:val="0"/>
          <w:i w:val="0"/>
          <w:color w:val="943634" w:themeColor="accent2" w:themeShade="BF"/>
          <w:sz w:val="56"/>
          <w:szCs w:val="56"/>
        </w:rPr>
        <w:instrText xml:space="preserve"> TOC \o "1-3" \h \z \u </w:instrText>
      </w:r>
      <w:r w:rsidRPr="00C824D4">
        <w:rPr>
          <w:rFonts w:ascii="Century" w:hAnsi="Century"/>
          <w:b w:val="0"/>
          <w:i w:val="0"/>
          <w:color w:val="943634" w:themeColor="accent2" w:themeShade="BF"/>
          <w:sz w:val="56"/>
          <w:szCs w:val="56"/>
        </w:rPr>
        <w:fldChar w:fldCharType="separate"/>
      </w:r>
      <w:hyperlink w:anchor="_Toc63763206" w:history="1">
        <w:r w:rsidR="00B11F50" w:rsidRPr="002B6916">
          <w:rPr>
            <w:rStyle w:val="Lienhypertexte"/>
            <w:rFonts w:eastAsia="Times New Roman"/>
            <w:noProof/>
          </w:rPr>
          <w:t>1</w:t>
        </w:r>
        <w:r w:rsidR="00B11F50">
          <w:rPr>
            <w:rFonts w:eastAsiaTheme="minorEastAsia" w:cstheme="minorBidi"/>
            <w:b w:val="0"/>
            <w:bCs w:val="0"/>
            <w:i w:val="0"/>
            <w:iCs w:val="0"/>
            <w:noProof/>
            <w:sz w:val="22"/>
            <w:szCs w:val="22"/>
          </w:rPr>
          <w:tab/>
        </w:r>
        <w:r w:rsidR="00B11F50" w:rsidRPr="002B6916">
          <w:rPr>
            <w:rStyle w:val="Lienhypertexte"/>
            <w:rFonts w:eastAsia="Times New Roman"/>
            <w:noProof/>
          </w:rPr>
          <w:t>Domaine d’application</w:t>
        </w:r>
        <w:r w:rsidR="00B11F50">
          <w:rPr>
            <w:noProof/>
            <w:webHidden/>
          </w:rPr>
          <w:tab/>
        </w:r>
        <w:r>
          <w:rPr>
            <w:noProof/>
            <w:webHidden/>
          </w:rPr>
          <w:fldChar w:fldCharType="begin"/>
        </w:r>
        <w:r w:rsidR="00B11F50">
          <w:rPr>
            <w:noProof/>
            <w:webHidden/>
          </w:rPr>
          <w:instrText xml:space="preserve"> PAGEREF _Toc63763206 \h </w:instrText>
        </w:r>
        <w:r>
          <w:rPr>
            <w:noProof/>
            <w:webHidden/>
          </w:rPr>
        </w:r>
        <w:r>
          <w:rPr>
            <w:noProof/>
            <w:webHidden/>
          </w:rPr>
          <w:fldChar w:fldCharType="separate"/>
        </w:r>
        <w:r w:rsidR="00B11F50">
          <w:rPr>
            <w:noProof/>
            <w:webHidden/>
          </w:rPr>
          <w:t>2</w:t>
        </w:r>
        <w:r>
          <w:rPr>
            <w:noProof/>
            <w:webHidden/>
          </w:rPr>
          <w:fldChar w:fldCharType="end"/>
        </w:r>
      </w:hyperlink>
    </w:p>
    <w:p w:rsidR="00B11F50" w:rsidRDefault="00C824D4">
      <w:pPr>
        <w:pStyle w:val="TM1"/>
        <w:tabs>
          <w:tab w:val="left" w:pos="440"/>
          <w:tab w:val="right" w:leader="underscore" w:pos="9913"/>
        </w:tabs>
        <w:rPr>
          <w:rFonts w:eastAsiaTheme="minorEastAsia" w:cstheme="minorBidi"/>
          <w:b w:val="0"/>
          <w:bCs w:val="0"/>
          <w:i w:val="0"/>
          <w:iCs w:val="0"/>
          <w:noProof/>
          <w:sz w:val="22"/>
          <w:szCs w:val="22"/>
        </w:rPr>
      </w:pPr>
      <w:hyperlink w:anchor="_Toc63763207" w:history="1">
        <w:r w:rsidR="00B11F50" w:rsidRPr="002B6916">
          <w:rPr>
            <w:rStyle w:val="Lienhypertexte"/>
            <w:rFonts w:eastAsia="Times New Roman"/>
            <w:noProof/>
          </w:rPr>
          <w:t>2</w:t>
        </w:r>
        <w:r w:rsidR="00B11F50">
          <w:rPr>
            <w:rFonts w:eastAsiaTheme="minorEastAsia" w:cstheme="minorBidi"/>
            <w:b w:val="0"/>
            <w:bCs w:val="0"/>
            <w:i w:val="0"/>
            <w:iCs w:val="0"/>
            <w:noProof/>
            <w:sz w:val="22"/>
            <w:szCs w:val="22"/>
          </w:rPr>
          <w:tab/>
        </w:r>
        <w:r w:rsidR="00B11F50" w:rsidRPr="002B6916">
          <w:rPr>
            <w:rStyle w:val="Lienhypertexte"/>
            <w:noProof/>
          </w:rPr>
          <w:t>Avantages</w:t>
        </w:r>
        <w:r w:rsidR="00B11F50">
          <w:rPr>
            <w:noProof/>
            <w:webHidden/>
          </w:rPr>
          <w:tab/>
        </w:r>
        <w:r>
          <w:rPr>
            <w:noProof/>
            <w:webHidden/>
          </w:rPr>
          <w:fldChar w:fldCharType="begin"/>
        </w:r>
        <w:r w:rsidR="00B11F50">
          <w:rPr>
            <w:noProof/>
            <w:webHidden/>
          </w:rPr>
          <w:instrText xml:space="preserve"> PAGEREF _Toc63763207 \h </w:instrText>
        </w:r>
        <w:r>
          <w:rPr>
            <w:noProof/>
            <w:webHidden/>
          </w:rPr>
        </w:r>
        <w:r>
          <w:rPr>
            <w:noProof/>
            <w:webHidden/>
          </w:rPr>
          <w:fldChar w:fldCharType="separate"/>
        </w:r>
        <w:r w:rsidR="00B11F50">
          <w:rPr>
            <w:noProof/>
            <w:webHidden/>
          </w:rPr>
          <w:t>3</w:t>
        </w:r>
        <w:r>
          <w:rPr>
            <w:noProof/>
            <w:webHidden/>
          </w:rPr>
          <w:fldChar w:fldCharType="end"/>
        </w:r>
      </w:hyperlink>
    </w:p>
    <w:p w:rsidR="00B11F50" w:rsidRDefault="00C824D4">
      <w:pPr>
        <w:pStyle w:val="TM1"/>
        <w:tabs>
          <w:tab w:val="left" w:pos="440"/>
          <w:tab w:val="right" w:leader="underscore" w:pos="9913"/>
        </w:tabs>
        <w:rPr>
          <w:rFonts w:eastAsiaTheme="minorEastAsia" w:cstheme="minorBidi"/>
          <w:b w:val="0"/>
          <w:bCs w:val="0"/>
          <w:i w:val="0"/>
          <w:iCs w:val="0"/>
          <w:noProof/>
          <w:sz w:val="22"/>
          <w:szCs w:val="22"/>
        </w:rPr>
      </w:pPr>
      <w:hyperlink w:anchor="_Toc63763208" w:history="1">
        <w:r w:rsidR="00B11F50" w:rsidRPr="002B6916">
          <w:rPr>
            <w:rStyle w:val="Lienhypertexte"/>
            <w:noProof/>
          </w:rPr>
          <w:t>3</w:t>
        </w:r>
        <w:r w:rsidR="00B11F50">
          <w:rPr>
            <w:rFonts w:eastAsiaTheme="minorEastAsia" w:cstheme="minorBidi"/>
            <w:b w:val="0"/>
            <w:bCs w:val="0"/>
            <w:i w:val="0"/>
            <w:iCs w:val="0"/>
            <w:noProof/>
            <w:sz w:val="22"/>
            <w:szCs w:val="22"/>
          </w:rPr>
          <w:tab/>
        </w:r>
        <w:r w:rsidR="00B11F50" w:rsidRPr="002B6916">
          <w:rPr>
            <w:rStyle w:val="Lienhypertexte"/>
            <w:noProof/>
          </w:rPr>
          <w:t>Conditions</w:t>
        </w:r>
        <w:r w:rsidR="00B11F50">
          <w:rPr>
            <w:noProof/>
            <w:webHidden/>
          </w:rPr>
          <w:tab/>
        </w:r>
        <w:r>
          <w:rPr>
            <w:noProof/>
            <w:webHidden/>
          </w:rPr>
          <w:fldChar w:fldCharType="begin"/>
        </w:r>
        <w:r w:rsidR="00B11F50">
          <w:rPr>
            <w:noProof/>
            <w:webHidden/>
          </w:rPr>
          <w:instrText xml:space="preserve"> PAGEREF _Toc63763208 \h </w:instrText>
        </w:r>
        <w:r>
          <w:rPr>
            <w:noProof/>
            <w:webHidden/>
          </w:rPr>
        </w:r>
        <w:r>
          <w:rPr>
            <w:noProof/>
            <w:webHidden/>
          </w:rPr>
          <w:fldChar w:fldCharType="separate"/>
        </w:r>
        <w:r w:rsidR="00B11F50">
          <w:rPr>
            <w:noProof/>
            <w:webHidden/>
          </w:rPr>
          <w:t>3</w:t>
        </w:r>
        <w:r>
          <w:rPr>
            <w:noProof/>
            <w:webHidden/>
          </w:rPr>
          <w:fldChar w:fldCharType="end"/>
        </w:r>
      </w:hyperlink>
    </w:p>
    <w:p w:rsidR="00B11F50" w:rsidRDefault="00C824D4">
      <w:pPr>
        <w:pStyle w:val="TM1"/>
        <w:tabs>
          <w:tab w:val="left" w:pos="440"/>
          <w:tab w:val="right" w:leader="underscore" w:pos="9913"/>
        </w:tabs>
        <w:rPr>
          <w:rFonts w:eastAsiaTheme="minorEastAsia" w:cstheme="minorBidi"/>
          <w:b w:val="0"/>
          <w:bCs w:val="0"/>
          <w:i w:val="0"/>
          <w:iCs w:val="0"/>
          <w:noProof/>
          <w:sz w:val="22"/>
          <w:szCs w:val="22"/>
        </w:rPr>
      </w:pPr>
      <w:hyperlink w:anchor="_Toc63763209" w:history="1">
        <w:r w:rsidR="00B11F50" w:rsidRPr="002B6916">
          <w:rPr>
            <w:rStyle w:val="Lienhypertexte"/>
            <w:noProof/>
          </w:rPr>
          <w:t>4</w:t>
        </w:r>
        <w:r w:rsidR="00B11F50">
          <w:rPr>
            <w:rFonts w:eastAsiaTheme="minorEastAsia" w:cstheme="minorBidi"/>
            <w:b w:val="0"/>
            <w:bCs w:val="0"/>
            <w:i w:val="0"/>
            <w:iCs w:val="0"/>
            <w:noProof/>
            <w:sz w:val="22"/>
            <w:szCs w:val="22"/>
          </w:rPr>
          <w:tab/>
        </w:r>
        <w:r w:rsidR="00B11F50" w:rsidRPr="002B6916">
          <w:rPr>
            <w:rStyle w:val="Lienhypertexte"/>
            <w:noProof/>
          </w:rPr>
          <w:t>Modalités de déduction</w:t>
        </w:r>
        <w:r w:rsidR="00B11F50">
          <w:rPr>
            <w:noProof/>
            <w:webHidden/>
          </w:rPr>
          <w:tab/>
        </w:r>
        <w:r>
          <w:rPr>
            <w:noProof/>
            <w:webHidden/>
          </w:rPr>
          <w:fldChar w:fldCharType="begin"/>
        </w:r>
        <w:r w:rsidR="00B11F50">
          <w:rPr>
            <w:noProof/>
            <w:webHidden/>
          </w:rPr>
          <w:instrText xml:space="preserve"> PAGEREF _Toc63763209 \h </w:instrText>
        </w:r>
        <w:r>
          <w:rPr>
            <w:noProof/>
            <w:webHidden/>
          </w:rPr>
        </w:r>
        <w:r>
          <w:rPr>
            <w:noProof/>
            <w:webHidden/>
          </w:rPr>
          <w:fldChar w:fldCharType="separate"/>
        </w:r>
        <w:r w:rsidR="00B11F50">
          <w:rPr>
            <w:noProof/>
            <w:webHidden/>
          </w:rPr>
          <w:t>4</w:t>
        </w:r>
        <w:r>
          <w:rPr>
            <w:noProof/>
            <w:webHidden/>
          </w:rPr>
          <w:fldChar w:fldCharType="end"/>
        </w:r>
      </w:hyperlink>
    </w:p>
    <w:p w:rsidR="00B11F50" w:rsidRDefault="00C824D4">
      <w:pPr>
        <w:pStyle w:val="TM2"/>
        <w:tabs>
          <w:tab w:val="left" w:pos="880"/>
          <w:tab w:val="right" w:leader="underscore" w:pos="9913"/>
        </w:tabs>
        <w:rPr>
          <w:rFonts w:eastAsiaTheme="minorEastAsia" w:cstheme="minorBidi"/>
          <w:b w:val="0"/>
          <w:bCs w:val="0"/>
          <w:noProof/>
        </w:rPr>
      </w:pPr>
      <w:hyperlink w:anchor="_Toc63763210" w:history="1">
        <w:r w:rsidR="00B11F50" w:rsidRPr="002B6916">
          <w:rPr>
            <w:rStyle w:val="Lienhypertexte"/>
            <w:noProof/>
          </w:rPr>
          <w:t>4.1</w:t>
        </w:r>
        <w:r w:rsidR="00B11F50">
          <w:rPr>
            <w:rFonts w:eastAsiaTheme="minorEastAsia" w:cstheme="minorBidi"/>
            <w:b w:val="0"/>
            <w:bCs w:val="0"/>
            <w:noProof/>
          </w:rPr>
          <w:tab/>
        </w:r>
        <w:r w:rsidR="00B11F50" w:rsidRPr="002B6916">
          <w:rPr>
            <w:rStyle w:val="Lienhypertexte"/>
            <w:noProof/>
          </w:rPr>
          <w:t>Immeuble procurant des recettes imposables et non occupé par son propriétaire</w:t>
        </w:r>
        <w:r w:rsidR="00B11F50">
          <w:rPr>
            <w:noProof/>
            <w:webHidden/>
          </w:rPr>
          <w:tab/>
        </w:r>
        <w:r>
          <w:rPr>
            <w:noProof/>
            <w:webHidden/>
          </w:rPr>
          <w:fldChar w:fldCharType="begin"/>
        </w:r>
        <w:r w:rsidR="00B11F50">
          <w:rPr>
            <w:noProof/>
            <w:webHidden/>
          </w:rPr>
          <w:instrText xml:space="preserve"> PAGEREF _Toc63763210 \h </w:instrText>
        </w:r>
        <w:r>
          <w:rPr>
            <w:noProof/>
            <w:webHidden/>
          </w:rPr>
        </w:r>
        <w:r>
          <w:rPr>
            <w:noProof/>
            <w:webHidden/>
          </w:rPr>
          <w:fldChar w:fldCharType="separate"/>
        </w:r>
        <w:r w:rsidR="00B11F50">
          <w:rPr>
            <w:noProof/>
            <w:webHidden/>
          </w:rPr>
          <w:t>4</w:t>
        </w:r>
        <w:r>
          <w:rPr>
            <w:noProof/>
            <w:webHidden/>
          </w:rPr>
          <w:fldChar w:fldCharType="end"/>
        </w:r>
      </w:hyperlink>
    </w:p>
    <w:p w:rsidR="00B11F50" w:rsidRDefault="00C824D4">
      <w:pPr>
        <w:pStyle w:val="TM3"/>
        <w:tabs>
          <w:tab w:val="left" w:pos="1100"/>
          <w:tab w:val="right" w:leader="underscore" w:pos="9913"/>
        </w:tabs>
        <w:rPr>
          <w:rFonts w:eastAsiaTheme="minorEastAsia" w:cstheme="minorBidi"/>
          <w:noProof/>
          <w:sz w:val="22"/>
          <w:szCs w:val="22"/>
        </w:rPr>
      </w:pPr>
      <w:hyperlink w:anchor="_Toc63763211" w:history="1">
        <w:r w:rsidR="00B11F50" w:rsidRPr="002B6916">
          <w:rPr>
            <w:rStyle w:val="Lienhypertexte"/>
            <w:noProof/>
            <w:kern w:val="36"/>
          </w:rPr>
          <w:t>4.1.1</w:t>
        </w:r>
        <w:r w:rsidR="00B11F50">
          <w:rPr>
            <w:rFonts w:eastAsiaTheme="minorEastAsia" w:cstheme="minorBidi"/>
            <w:noProof/>
            <w:sz w:val="22"/>
            <w:szCs w:val="22"/>
          </w:rPr>
          <w:tab/>
        </w:r>
        <w:r w:rsidR="00B11F50" w:rsidRPr="002B6916">
          <w:rPr>
            <w:rStyle w:val="Lienhypertexte"/>
            <w:noProof/>
            <w:kern w:val="36"/>
          </w:rPr>
          <w:t>Immeubles historiques et assimilés donnés en location</w:t>
        </w:r>
        <w:r w:rsidR="00B11F50">
          <w:rPr>
            <w:noProof/>
            <w:webHidden/>
          </w:rPr>
          <w:tab/>
        </w:r>
        <w:r>
          <w:rPr>
            <w:noProof/>
            <w:webHidden/>
          </w:rPr>
          <w:fldChar w:fldCharType="begin"/>
        </w:r>
        <w:r w:rsidR="00B11F50">
          <w:rPr>
            <w:noProof/>
            <w:webHidden/>
          </w:rPr>
          <w:instrText xml:space="preserve"> PAGEREF _Toc63763211 \h </w:instrText>
        </w:r>
        <w:r>
          <w:rPr>
            <w:noProof/>
            <w:webHidden/>
          </w:rPr>
        </w:r>
        <w:r>
          <w:rPr>
            <w:noProof/>
            <w:webHidden/>
          </w:rPr>
          <w:fldChar w:fldCharType="separate"/>
        </w:r>
        <w:r w:rsidR="00B11F50">
          <w:rPr>
            <w:noProof/>
            <w:webHidden/>
          </w:rPr>
          <w:t>4</w:t>
        </w:r>
        <w:r>
          <w:rPr>
            <w:noProof/>
            <w:webHidden/>
          </w:rPr>
          <w:fldChar w:fldCharType="end"/>
        </w:r>
      </w:hyperlink>
    </w:p>
    <w:p w:rsidR="00B11F50" w:rsidRDefault="00C824D4">
      <w:pPr>
        <w:pStyle w:val="TM3"/>
        <w:tabs>
          <w:tab w:val="left" w:pos="1100"/>
          <w:tab w:val="right" w:leader="underscore" w:pos="9913"/>
        </w:tabs>
        <w:rPr>
          <w:rFonts w:eastAsiaTheme="minorEastAsia" w:cstheme="minorBidi"/>
          <w:noProof/>
          <w:sz w:val="22"/>
          <w:szCs w:val="22"/>
        </w:rPr>
      </w:pPr>
      <w:hyperlink w:anchor="_Toc63763212" w:history="1">
        <w:r w:rsidR="00B11F50" w:rsidRPr="002B6916">
          <w:rPr>
            <w:rStyle w:val="Lienhypertexte"/>
            <w:noProof/>
          </w:rPr>
          <w:t>4.1.2</w:t>
        </w:r>
        <w:r w:rsidR="00B11F50">
          <w:rPr>
            <w:rFonts w:eastAsiaTheme="minorEastAsia" w:cstheme="minorBidi"/>
            <w:noProof/>
            <w:sz w:val="22"/>
            <w:szCs w:val="22"/>
          </w:rPr>
          <w:tab/>
        </w:r>
        <w:r w:rsidR="00B11F50" w:rsidRPr="002B6916">
          <w:rPr>
            <w:rStyle w:val="Lienhypertexte"/>
            <w:noProof/>
          </w:rPr>
          <w:t>Immeuble ne procurant aucune recette imposable dont le propriétaire se réserve la jouissance.</w:t>
        </w:r>
        <w:r w:rsidR="00B11F50">
          <w:rPr>
            <w:noProof/>
            <w:webHidden/>
          </w:rPr>
          <w:tab/>
        </w:r>
        <w:r>
          <w:rPr>
            <w:noProof/>
            <w:webHidden/>
          </w:rPr>
          <w:fldChar w:fldCharType="begin"/>
        </w:r>
        <w:r w:rsidR="00B11F50">
          <w:rPr>
            <w:noProof/>
            <w:webHidden/>
          </w:rPr>
          <w:instrText xml:space="preserve"> PAGEREF _Toc63763212 \h </w:instrText>
        </w:r>
        <w:r>
          <w:rPr>
            <w:noProof/>
            <w:webHidden/>
          </w:rPr>
        </w:r>
        <w:r>
          <w:rPr>
            <w:noProof/>
            <w:webHidden/>
          </w:rPr>
          <w:fldChar w:fldCharType="separate"/>
        </w:r>
        <w:r w:rsidR="00B11F50">
          <w:rPr>
            <w:noProof/>
            <w:webHidden/>
          </w:rPr>
          <w:t>5</w:t>
        </w:r>
        <w:r>
          <w:rPr>
            <w:noProof/>
            <w:webHidden/>
          </w:rPr>
          <w:fldChar w:fldCharType="end"/>
        </w:r>
      </w:hyperlink>
    </w:p>
    <w:p w:rsidR="00B11F50" w:rsidRDefault="00C824D4">
      <w:pPr>
        <w:pStyle w:val="TM1"/>
        <w:tabs>
          <w:tab w:val="left" w:pos="440"/>
          <w:tab w:val="right" w:leader="underscore" w:pos="9913"/>
        </w:tabs>
        <w:rPr>
          <w:rFonts w:eastAsiaTheme="minorEastAsia" w:cstheme="minorBidi"/>
          <w:b w:val="0"/>
          <w:bCs w:val="0"/>
          <w:i w:val="0"/>
          <w:iCs w:val="0"/>
          <w:noProof/>
          <w:sz w:val="22"/>
          <w:szCs w:val="22"/>
        </w:rPr>
      </w:pPr>
      <w:hyperlink w:anchor="_Toc63763213" w:history="1">
        <w:r w:rsidR="00B11F50" w:rsidRPr="002B6916">
          <w:rPr>
            <w:rStyle w:val="Lienhypertexte"/>
            <w:noProof/>
          </w:rPr>
          <w:t>5</w:t>
        </w:r>
        <w:r w:rsidR="00B11F50">
          <w:rPr>
            <w:rFonts w:eastAsiaTheme="minorEastAsia" w:cstheme="minorBidi"/>
            <w:b w:val="0"/>
            <w:bCs w:val="0"/>
            <w:i w:val="0"/>
            <w:iCs w:val="0"/>
            <w:noProof/>
            <w:sz w:val="22"/>
            <w:szCs w:val="22"/>
          </w:rPr>
          <w:tab/>
        </w:r>
        <w:r w:rsidR="00B11F50" w:rsidRPr="002B6916">
          <w:rPr>
            <w:rStyle w:val="Lienhypertexte"/>
            <w:noProof/>
          </w:rPr>
          <w:t>Conditions d'application</w:t>
        </w:r>
        <w:r w:rsidR="00B11F50">
          <w:rPr>
            <w:noProof/>
            <w:webHidden/>
          </w:rPr>
          <w:tab/>
        </w:r>
        <w:r>
          <w:rPr>
            <w:noProof/>
            <w:webHidden/>
          </w:rPr>
          <w:fldChar w:fldCharType="begin"/>
        </w:r>
        <w:r w:rsidR="00B11F50">
          <w:rPr>
            <w:noProof/>
            <w:webHidden/>
          </w:rPr>
          <w:instrText xml:space="preserve"> PAGEREF _Toc63763213 \h </w:instrText>
        </w:r>
        <w:r>
          <w:rPr>
            <w:noProof/>
            <w:webHidden/>
          </w:rPr>
        </w:r>
        <w:r>
          <w:rPr>
            <w:noProof/>
            <w:webHidden/>
          </w:rPr>
          <w:fldChar w:fldCharType="separate"/>
        </w:r>
        <w:r w:rsidR="00B11F50">
          <w:rPr>
            <w:noProof/>
            <w:webHidden/>
          </w:rPr>
          <w:t>5</w:t>
        </w:r>
        <w:r>
          <w:rPr>
            <w:noProof/>
            <w:webHidden/>
          </w:rPr>
          <w:fldChar w:fldCharType="end"/>
        </w:r>
      </w:hyperlink>
    </w:p>
    <w:p w:rsidR="00B11F50" w:rsidRDefault="00C824D4">
      <w:pPr>
        <w:pStyle w:val="TM2"/>
        <w:tabs>
          <w:tab w:val="left" w:pos="880"/>
          <w:tab w:val="right" w:leader="underscore" w:pos="9913"/>
        </w:tabs>
        <w:rPr>
          <w:rFonts w:eastAsiaTheme="minorEastAsia" w:cstheme="minorBidi"/>
          <w:b w:val="0"/>
          <w:bCs w:val="0"/>
          <w:noProof/>
        </w:rPr>
      </w:pPr>
      <w:hyperlink w:anchor="_Toc63763214" w:history="1">
        <w:r w:rsidR="00B11F50" w:rsidRPr="002B6916">
          <w:rPr>
            <w:rStyle w:val="Lienhypertexte"/>
            <w:noProof/>
          </w:rPr>
          <w:t>5.1</w:t>
        </w:r>
        <w:r w:rsidR="00B11F50">
          <w:rPr>
            <w:rFonts w:eastAsiaTheme="minorEastAsia" w:cstheme="minorBidi"/>
            <w:b w:val="0"/>
            <w:bCs w:val="0"/>
            <w:noProof/>
          </w:rPr>
          <w:tab/>
        </w:r>
        <w:r w:rsidR="00B11F50" w:rsidRPr="002B6916">
          <w:rPr>
            <w:rStyle w:val="Lienhypertexte"/>
            <w:noProof/>
          </w:rPr>
          <w:t>Engagement de conservation des immeubles</w:t>
        </w:r>
        <w:r w:rsidR="00B11F50">
          <w:rPr>
            <w:noProof/>
            <w:webHidden/>
          </w:rPr>
          <w:tab/>
        </w:r>
        <w:r>
          <w:rPr>
            <w:noProof/>
            <w:webHidden/>
          </w:rPr>
          <w:fldChar w:fldCharType="begin"/>
        </w:r>
        <w:r w:rsidR="00B11F50">
          <w:rPr>
            <w:noProof/>
            <w:webHidden/>
          </w:rPr>
          <w:instrText xml:space="preserve"> PAGEREF _Toc63763214 \h </w:instrText>
        </w:r>
        <w:r>
          <w:rPr>
            <w:noProof/>
            <w:webHidden/>
          </w:rPr>
        </w:r>
        <w:r>
          <w:rPr>
            <w:noProof/>
            <w:webHidden/>
          </w:rPr>
          <w:fldChar w:fldCharType="separate"/>
        </w:r>
        <w:r w:rsidR="00B11F50">
          <w:rPr>
            <w:noProof/>
            <w:webHidden/>
          </w:rPr>
          <w:t>5</w:t>
        </w:r>
        <w:r>
          <w:rPr>
            <w:noProof/>
            <w:webHidden/>
          </w:rPr>
          <w:fldChar w:fldCharType="end"/>
        </w:r>
      </w:hyperlink>
    </w:p>
    <w:p w:rsidR="00B11F50" w:rsidRDefault="00C824D4">
      <w:pPr>
        <w:pStyle w:val="TM2"/>
        <w:tabs>
          <w:tab w:val="left" w:pos="880"/>
          <w:tab w:val="right" w:leader="underscore" w:pos="9913"/>
        </w:tabs>
        <w:rPr>
          <w:rFonts w:eastAsiaTheme="minorEastAsia" w:cstheme="minorBidi"/>
          <w:b w:val="0"/>
          <w:bCs w:val="0"/>
          <w:noProof/>
        </w:rPr>
      </w:pPr>
      <w:hyperlink w:anchor="_Toc63763215" w:history="1">
        <w:r w:rsidR="00B11F50" w:rsidRPr="002B6916">
          <w:rPr>
            <w:rStyle w:val="Lienhypertexte"/>
            <w:noProof/>
          </w:rPr>
          <w:t>5.2</w:t>
        </w:r>
        <w:r w:rsidR="00B11F50">
          <w:rPr>
            <w:rFonts w:eastAsiaTheme="minorEastAsia" w:cstheme="minorBidi"/>
            <w:b w:val="0"/>
            <w:bCs w:val="0"/>
            <w:noProof/>
          </w:rPr>
          <w:tab/>
        </w:r>
        <w:r w:rsidR="00B11F50" w:rsidRPr="002B6916">
          <w:rPr>
            <w:rStyle w:val="Lienhypertexte"/>
            <w:noProof/>
          </w:rPr>
          <w:t>Conséquences du non-respect de l'engagement de conservation des immeubles</w:t>
        </w:r>
        <w:r w:rsidR="00B11F50">
          <w:rPr>
            <w:noProof/>
            <w:webHidden/>
          </w:rPr>
          <w:tab/>
        </w:r>
        <w:r>
          <w:rPr>
            <w:noProof/>
            <w:webHidden/>
          </w:rPr>
          <w:fldChar w:fldCharType="begin"/>
        </w:r>
        <w:r w:rsidR="00B11F50">
          <w:rPr>
            <w:noProof/>
            <w:webHidden/>
          </w:rPr>
          <w:instrText xml:space="preserve"> PAGEREF _Toc63763215 \h </w:instrText>
        </w:r>
        <w:r>
          <w:rPr>
            <w:noProof/>
            <w:webHidden/>
          </w:rPr>
        </w:r>
        <w:r>
          <w:rPr>
            <w:noProof/>
            <w:webHidden/>
          </w:rPr>
          <w:fldChar w:fldCharType="separate"/>
        </w:r>
        <w:r w:rsidR="00B11F50">
          <w:rPr>
            <w:noProof/>
            <w:webHidden/>
          </w:rPr>
          <w:t>5</w:t>
        </w:r>
        <w:r>
          <w:rPr>
            <w:noProof/>
            <w:webHidden/>
          </w:rPr>
          <w:fldChar w:fldCharType="end"/>
        </w:r>
      </w:hyperlink>
    </w:p>
    <w:p w:rsidR="00B11F50" w:rsidRDefault="00C824D4">
      <w:pPr>
        <w:pStyle w:val="TM1"/>
        <w:tabs>
          <w:tab w:val="left" w:pos="440"/>
          <w:tab w:val="right" w:leader="underscore" w:pos="9913"/>
        </w:tabs>
        <w:rPr>
          <w:rFonts w:eastAsiaTheme="minorEastAsia" w:cstheme="minorBidi"/>
          <w:b w:val="0"/>
          <w:bCs w:val="0"/>
          <w:i w:val="0"/>
          <w:iCs w:val="0"/>
          <w:noProof/>
          <w:sz w:val="22"/>
          <w:szCs w:val="22"/>
        </w:rPr>
      </w:pPr>
      <w:hyperlink w:anchor="_Toc63763216" w:history="1">
        <w:r w:rsidR="00B11F50" w:rsidRPr="002B6916">
          <w:rPr>
            <w:rStyle w:val="Lienhypertexte"/>
            <w:noProof/>
          </w:rPr>
          <w:t>6</w:t>
        </w:r>
        <w:r w:rsidR="00B11F50">
          <w:rPr>
            <w:rFonts w:eastAsiaTheme="minorEastAsia" w:cstheme="minorBidi"/>
            <w:b w:val="0"/>
            <w:bCs w:val="0"/>
            <w:i w:val="0"/>
            <w:iCs w:val="0"/>
            <w:noProof/>
            <w:sz w:val="22"/>
            <w:szCs w:val="22"/>
          </w:rPr>
          <w:tab/>
        </w:r>
        <w:r w:rsidR="00B11F50" w:rsidRPr="002B6916">
          <w:rPr>
            <w:rStyle w:val="Lienhypertexte"/>
            <w:noProof/>
          </w:rPr>
          <w:t>Condition tenant au mode de détention des immeubles</w:t>
        </w:r>
        <w:r w:rsidR="00B11F50">
          <w:rPr>
            <w:noProof/>
            <w:webHidden/>
          </w:rPr>
          <w:tab/>
        </w:r>
        <w:r>
          <w:rPr>
            <w:noProof/>
            <w:webHidden/>
          </w:rPr>
          <w:fldChar w:fldCharType="begin"/>
        </w:r>
        <w:r w:rsidR="00B11F50">
          <w:rPr>
            <w:noProof/>
            <w:webHidden/>
          </w:rPr>
          <w:instrText xml:space="preserve"> PAGEREF _Toc63763216 \h </w:instrText>
        </w:r>
        <w:r>
          <w:rPr>
            <w:noProof/>
            <w:webHidden/>
          </w:rPr>
        </w:r>
        <w:r>
          <w:rPr>
            <w:noProof/>
            <w:webHidden/>
          </w:rPr>
          <w:fldChar w:fldCharType="separate"/>
        </w:r>
        <w:r w:rsidR="00B11F50">
          <w:rPr>
            <w:noProof/>
            <w:webHidden/>
          </w:rPr>
          <w:t>5</w:t>
        </w:r>
        <w:r>
          <w:rPr>
            <w:noProof/>
            <w:webHidden/>
          </w:rPr>
          <w:fldChar w:fldCharType="end"/>
        </w:r>
      </w:hyperlink>
    </w:p>
    <w:p w:rsidR="00B11F50" w:rsidRDefault="00C824D4">
      <w:pPr>
        <w:pStyle w:val="TM1"/>
        <w:tabs>
          <w:tab w:val="left" w:pos="440"/>
          <w:tab w:val="right" w:leader="underscore" w:pos="9913"/>
        </w:tabs>
        <w:rPr>
          <w:rFonts w:eastAsiaTheme="minorEastAsia" w:cstheme="minorBidi"/>
          <w:b w:val="0"/>
          <w:bCs w:val="0"/>
          <w:i w:val="0"/>
          <w:iCs w:val="0"/>
          <w:noProof/>
          <w:sz w:val="22"/>
          <w:szCs w:val="22"/>
        </w:rPr>
      </w:pPr>
      <w:hyperlink w:anchor="_Toc63763217" w:history="1">
        <w:r w:rsidR="00B11F50" w:rsidRPr="002B6916">
          <w:rPr>
            <w:rStyle w:val="Lienhypertexte"/>
            <w:noProof/>
          </w:rPr>
          <w:t>7</w:t>
        </w:r>
        <w:r w:rsidR="00B11F50">
          <w:rPr>
            <w:rFonts w:eastAsiaTheme="minorEastAsia" w:cstheme="minorBidi"/>
            <w:b w:val="0"/>
            <w:bCs w:val="0"/>
            <w:i w:val="0"/>
            <w:iCs w:val="0"/>
            <w:noProof/>
            <w:sz w:val="22"/>
            <w:szCs w:val="22"/>
          </w:rPr>
          <w:tab/>
        </w:r>
        <w:r w:rsidR="00B11F50" w:rsidRPr="002B6916">
          <w:rPr>
            <w:rStyle w:val="Lienhypertexte"/>
            <w:noProof/>
          </w:rPr>
          <w:t>Obligations des propriétaires et sanctions</w:t>
        </w:r>
        <w:r w:rsidR="00B11F50">
          <w:rPr>
            <w:noProof/>
            <w:webHidden/>
          </w:rPr>
          <w:tab/>
        </w:r>
        <w:r>
          <w:rPr>
            <w:noProof/>
            <w:webHidden/>
          </w:rPr>
          <w:fldChar w:fldCharType="begin"/>
        </w:r>
        <w:r w:rsidR="00B11F50">
          <w:rPr>
            <w:noProof/>
            <w:webHidden/>
          </w:rPr>
          <w:instrText xml:space="preserve"> PAGEREF _Toc63763217 \h </w:instrText>
        </w:r>
        <w:r>
          <w:rPr>
            <w:noProof/>
            <w:webHidden/>
          </w:rPr>
        </w:r>
        <w:r>
          <w:rPr>
            <w:noProof/>
            <w:webHidden/>
          </w:rPr>
          <w:fldChar w:fldCharType="separate"/>
        </w:r>
        <w:r w:rsidR="00B11F50">
          <w:rPr>
            <w:noProof/>
            <w:webHidden/>
          </w:rPr>
          <w:t>6</w:t>
        </w:r>
        <w:r>
          <w:rPr>
            <w:noProof/>
            <w:webHidden/>
          </w:rPr>
          <w:fldChar w:fldCharType="end"/>
        </w:r>
      </w:hyperlink>
    </w:p>
    <w:p w:rsidR="000841D7" w:rsidRDefault="00C824D4" w:rsidP="005B586B">
      <w:pPr>
        <w:ind w:left="0"/>
        <w:jc w:val="left"/>
        <w:rPr>
          <w:rFonts w:ascii="Century" w:hAnsi="Century"/>
          <w:b/>
          <w:i/>
          <w:color w:val="943634" w:themeColor="accent2" w:themeShade="BF"/>
          <w:sz w:val="56"/>
          <w:szCs w:val="56"/>
        </w:rPr>
      </w:pPr>
      <w:r>
        <w:rPr>
          <w:rFonts w:ascii="Century" w:hAnsi="Century"/>
          <w:b/>
          <w:i/>
          <w:color w:val="943634" w:themeColor="accent2" w:themeShade="BF"/>
          <w:sz w:val="56"/>
          <w:szCs w:val="56"/>
        </w:rPr>
        <w:fldChar w:fldCharType="end"/>
      </w:r>
    </w:p>
    <w:p w:rsidR="00F031C1" w:rsidRDefault="00F031C1" w:rsidP="005B586B">
      <w:pPr>
        <w:ind w:left="0"/>
        <w:jc w:val="left"/>
        <w:rPr>
          <w:rFonts w:ascii="Century" w:hAnsi="Century"/>
          <w:b/>
          <w:i/>
          <w:color w:val="943634" w:themeColor="accent2" w:themeShade="BF"/>
          <w:sz w:val="56"/>
          <w:szCs w:val="56"/>
        </w:rPr>
      </w:pPr>
    </w:p>
    <w:p w:rsidR="00F031C1" w:rsidRDefault="00F031C1" w:rsidP="005B586B">
      <w:pPr>
        <w:ind w:left="0"/>
        <w:jc w:val="left"/>
        <w:rPr>
          <w:rFonts w:ascii="Century" w:hAnsi="Century"/>
          <w:b/>
          <w:i/>
          <w:color w:val="943634" w:themeColor="accent2" w:themeShade="BF"/>
          <w:sz w:val="56"/>
          <w:szCs w:val="56"/>
        </w:rPr>
      </w:pPr>
    </w:p>
    <w:p w:rsidR="000841D7" w:rsidRDefault="000841D7" w:rsidP="005B586B">
      <w:pPr>
        <w:ind w:left="0"/>
        <w:jc w:val="left"/>
        <w:rPr>
          <w:rFonts w:ascii="Century" w:hAnsi="Century"/>
          <w:b/>
          <w:i/>
          <w:color w:val="943634" w:themeColor="accent2" w:themeShade="BF"/>
          <w:sz w:val="56"/>
          <w:szCs w:val="56"/>
        </w:rPr>
      </w:pPr>
    </w:p>
    <w:p w:rsidR="00B11F50" w:rsidRDefault="00B11F50" w:rsidP="005B586B">
      <w:pPr>
        <w:ind w:left="0"/>
        <w:jc w:val="left"/>
        <w:rPr>
          <w:rFonts w:ascii="Century" w:hAnsi="Century"/>
          <w:b/>
          <w:i/>
          <w:color w:val="943634" w:themeColor="accent2" w:themeShade="BF"/>
          <w:sz w:val="56"/>
          <w:szCs w:val="56"/>
        </w:rPr>
      </w:pPr>
    </w:p>
    <w:p w:rsidR="00B11F50" w:rsidRDefault="00B11F50" w:rsidP="005B586B">
      <w:pPr>
        <w:ind w:left="0"/>
        <w:jc w:val="left"/>
        <w:rPr>
          <w:rFonts w:ascii="Century" w:hAnsi="Century"/>
          <w:b/>
          <w:i/>
          <w:color w:val="943634" w:themeColor="accent2" w:themeShade="BF"/>
          <w:sz w:val="56"/>
          <w:szCs w:val="56"/>
        </w:rPr>
      </w:pPr>
    </w:p>
    <w:p w:rsidR="00B11F50" w:rsidRDefault="00B11F50" w:rsidP="005B586B">
      <w:pPr>
        <w:ind w:left="0"/>
        <w:jc w:val="left"/>
        <w:rPr>
          <w:rFonts w:ascii="Century" w:hAnsi="Century"/>
          <w:b/>
          <w:i/>
          <w:color w:val="943634" w:themeColor="accent2" w:themeShade="BF"/>
          <w:sz w:val="56"/>
          <w:szCs w:val="56"/>
        </w:rPr>
      </w:pPr>
    </w:p>
    <w:p w:rsidR="0072142C" w:rsidRDefault="0072142C" w:rsidP="005B586B">
      <w:pPr>
        <w:ind w:left="0"/>
        <w:jc w:val="left"/>
        <w:rPr>
          <w:rFonts w:ascii="Century" w:hAnsi="Century"/>
          <w:b/>
          <w:i/>
          <w:color w:val="943634" w:themeColor="accent2" w:themeShade="BF"/>
          <w:sz w:val="56"/>
          <w:szCs w:val="56"/>
        </w:rPr>
      </w:pPr>
    </w:p>
    <w:p w:rsidR="00F031C1" w:rsidRDefault="00C824D4" w:rsidP="005B586B">
      <w:pPr>
        <w:ind w:left="0"/>
        <w:jc w:val="left"/>
        <w:rPr>
          <w:rFonts w:ascii="Century" w:hAnsi="Century"/>
          <w:b/>
          <w:i/>
          <w:color w:val="943634" w:themeColor="accent2" w:themeShade="BF"/>
          <w:sz w:val="56"/>
          <w:szCs w:val="56"/>
        </w:rPr>
      </w:pPr>
      <w:r>
        <w:rPr>
          <w:rFonts w:ascii="Century" w:hAnsi="Century"/>
          <w:b/>
          <w:i/>
          <w:noProof/>
          <w:color w:val="943634" w:themeColor="accent2" w:themeShade="BF"/>
          <w:sz w:val="56"/>
          <w:szCs w:val="56"/>
          <w:lang w:eastAsia="en-US"/>
        </w:rPr>
        <w:lastRenderedPageBreak/>
        <w:pict>
          <v:shape id="_x0000_s1033" type="#_x0000_t202" style="position:absolute;margin-left:74.35pt;margin-top:-35.1pt;width:413.4pt;height:75.6pt;z-index:251665408;mso-width-relative:margin;mso-height-relative:margin" strokecolor="white [3212]" strokeweight="0">
            <v:textbox>
              <w:txbxContent>
                <w:p w:rsidR="000841D7" w:rsidRPr="000841D7" w:rsidRDefault="000841D7" w:rsidP="000841D7">
                  <w:pPr>
                    <w:spacing w:after="0"/>
                    <w:ind w:left="431"/>
                    <w:jc w:val="center"/>
                    <w:rPr>
                      <w:rFonts w:ascii="Century" w:hAnsi="Century"/>
                      <w:b/>
                      <w:i/>
                      <w:color w:val="943634" w:themeColor="accent2" w:themeShade="BF"/>
                      <w:sz w:val="44"/>
                      <w:szCs w:val="44"/>
                    </w:rPr>
                  </w:pPr>
                  <w:r w:rsidRPr="000841D7">
                    <w:rPr>
                      <w:rFonts w:ascii="Century" w:hAnsi="Century"/>
                      <w:b/>
                      <w:i/>
                      <w:color w:val="943634" w:themeColor="accent2" w:themeShade="BF"/>
                      <w:sz w:val="44"/>
                      <w:szCs w:val="44"/>
                    </w:rPr>
                    <w:t xml:space="preserve">Régime des monuments historiques </w:t>
                  </w:r>
                </w:p>
                <w:p w:rsidR="000841D7" w:rsidRPr="000841D7" w:rsidRDefault="000841D7" w:rsidP="000841D7">
                  <w:pPr>
                    <w:spacing w:after="0"/>
                    <w:ind w:left="431"/>
                    <w:jc w:val="center"/>
                    <w:rPr>
                      <w:rFonts w:ascii="Century" w:hAnsi="Century"/>
                      <w:b/>
                      <w:i/>
                      <w:color w:val="943634" w:themeColor="accent2" w:themeShade="BF"/>
                      <w:sz w:val="44"/>
                      <w:szCs w:val="44"/>
                    </w:rPr>
                  </w:pPr>
                  <w:proofErr w:type="gramStart"/>
                  <w:r w:rsidRPr="000841D7">
                    <w:rPr>
                      <w:rFonts w:ascii="Century" w:hAnsi="Century"/>
                      <w:b/>
                      <w:i/>
                      <w:color w:val="943634" w:themeColor="accent2" w:themeShade="BF"/>
                      <w:sz w:val="44"/>
                      <w:szCs w:val="44"/>
                    </w:rPr>
                    <w:t>et</w:t>
                  </w:r>
                  <w:proofErr w:type="gramEnd"/>
                  <w:r w:rsidRPr="000841D7">
                    <w:rPr>
                      <w:rFonts w:ascii="Century" w:hAnsi="Century"/>
                      <w:b/>
                      <w:i/>
                      <w:color w:val="943634" w:themeColor="accent2" w:themeShade="BF"/>
                      <w:sz w:val="44"/>
                      <w:szCs w:val="44"/>
                    </w:rPr>
                    <w:t xml:space="preserve"> assimilés</w:t>
                  </w:r>
                </w:p>
                <w:p w:rsidR="000841D7" w:rsidRDefault="000841D7"/>
              </w:txbxContent>
            </v:textbox>
          </v:shape>
        </w:pict>
      </w:r>
    </w:p>
    <w:p w:rsidR="00830EA7" w:rsidRDefault="000841D7" w:rsidP="00095D06">
      <w:pPr>
        <w:pStyle w:val="Titre1"/>
        <w:rPr>
          <w:rFonts w:eastAsia="Times New Roman"/>
        </w:rPr>
      </w:pPr>
      <w:bookmarkStart w:id="0" w:name="_Toc63670668"/>
      <w:bookmarkStart w:id="1" w:name="_Toc63670690"/>
      <w:bookmarkStart w:id="2" w:name="_Toc63670762"/>
      <w:r>
        <w:rPr>
          <w:rFonts w:ascii="Century" w:hAnsi="Century"/>
          <w:b w:val="0"/>
          <w:i w:val="0"/>
          <w:noProof/>
          <w:color w:val="943634" w:themeColor="accent2" w:themeShade="BF"/>
          <w:sz w:val="56"/>
          <w:szCs w:val="56"/>
        </w:rPr>
        <w:drawing>
          <wp:anchor distT="0" distB="0" distL="114300" distR="114300" simplePos="0" relativeHeight="251659264" behindDoc="0" locked="0" layoutInCell="1" allowOverlap="1">
            <wp:simplePos x="0" y="0"/>
            <wp:positionH relativeFrom="column">
              <wp:posOffset>-633095</wp:posOffset>
            </wp:positionH>
            <wp:positionV relativeFrom="paragraph">
              <wp:posOffset>-1198880</wp:posOffset>
            </wp:positionV>
            <wp:extent cx="1234440" cy="762000"/>
            <wp:effectExtent l="0" t="0" r="0" b="0"/>
            <wp:wrapNone/>
            <wp:docPr id="1" name="Image 67"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0" cstate="print"/>
                    <a:stretch>
                      <a:fillRect/>
                    </a:stretch>
                  </pic:blipFill>
                  <pic:spPr>
                    <a:xfrm>
                      <a:off x="0" y="0"/>
                      <a:ext cx="1234440" cy="762000"/>
                    </a:xfrm>
                    <a:prstGeom prst="rect">
                      <a:avLst/>
                    </a:prstGeom>
                  </pic:spPr>
                </pic:pic>
              </a:graphicData>
            </a:graphic>
          </wp:anchor>
        </w:drawing>
      </w:r>
      <w:bookmarkStart w:id="3" w:name="_Toc63763206"/>
      <w:r w:rsidR="00095D06">
        <w:rPr>
          <w:rFonts w:eastAsia="Times New Roman"/>
        </w:rPr>
        <w:t>Domaine d’application</w:t>
      </w:r>
      <w:bookmarkEnd w:id="0"/>
      <w:bookmarkEnd w:id="1"/>
      <w:bookmarkEnd w:id="2"/>
      <w:bookmarkEnd w:id="3"/>
    </w:p>
    <w:p w:rsidR="00095D06" w:rsidRPr="00830EA7" w:rsidRDefault="00095D06" w:rsidP="00095D06"/>
    <w:p w:rsidR="00C4083E" w:rsidRPr="00095D06" w:rsidRDefault="00830EA7" w:rsidP="00B11F50">
      <w:r w:rsidRPr="00095D06">
        <w:t>Les dispositions de l'article 156 du CGI relatives aux propriétaires d'immeubles histori</w:t>
      </w:r>
      <w:r w:rsidR="00B11F50">
        <w:t xml:space="preserve">ques et assimilés s'appliquent  </w:t>
      </w:r>
      <w:r w:rsidRPr="00095D06">
        <w:t>aux immeubles classés ou inscrits au titre des monuments historiques ;</w:t>
      </w:r>
    </w:p>
    <w:p w:rsidR="00830EA7" w:rsidRPr="00830EA7" w:rsidRDefault="00095D06" w:rsidP="00095D06">
      <w:pPr>
        <w:pStyle w:val="Titre1"/>
        <w:rPr>
          <w:rFonts w:eastAsia="Times New Roman"/>
        </w:rPr>
      </w:pPr>
      <w:bookmarkStart w:id="4" w:name="_Toc63670669"/>
      <w:bookmarkStart w:id="5" w:name="_Toc63670691"/>
      <w:bookmarkStart w:id="6" w:name="_Toc63670763"/>
      <w:bookmarkStart w:id="7" w:name="_Toc63763207"/>
      <w:r>
        <w:t>Avantages</w:t>
      </w:r>
      <w:bookmarkEnd w:id="4"/>
      <w:bookmarkEnd w:id="5"/>
      <w:bookmarkEnd w:id="6"/>
      <w:bookmarkEnd w:id="7"/>
    </w:p>
    <w:p w:rsidR="00095D06" w:rsidRDefault="00095D06" w:rsidP="00095D06"/>
    <w:p w:rsidR="00830EA7" w:rsidRPr="00830EA7" w:rsidRDefault="00830EA7" w:rsidP="00095D06">
      <w:r w:rsidRPr="00830EA7">
        <w:t>Les charges foncières supportées par les propriétaires de monuments historiques et assimilés peuvent être admises en déduction :</w:t>
      </w:r>
    </w:p>
    <w:p w:rsidR="00095D06" w:rsidRDefault="00830EA7" w:rsidP="00095D06">
      <w:pPr>
        <w:pStyle w:val="Paragraphedeliste"/>
        <w:numPr>
          <w:ilvl w:val="0"/>
          <w:numId w:val="15"/>
        </w:numPr>
      </w:pPr>
      <w:r w:rsidRPr="00830EA7">
        <w:t xml:space="preserve">soit du revenu global du propriétaire </w:t>
      </w:r>
    </w:p>
    <w:p w:rsidR="00830EA7" w:rsidRPr="00830EA7" w:rsidRDefault="00830EA7" w:rsidP="00095D06">
      <w:pPr>
        <w:pStyle w:val="Paragraphedeliste"/>
        <w:numPr>
          <w:ilvl w:val="0"/>
          <w:numId w:val="14"/>
        </w:numPr>
      </w:pPr>
      <w:r w:rsidRPr="00830EA7">
        <w:t>soit du revenu foncier procuré par l'immeuble, lorsque celui-ci donne lieu à la perception de recettes imposables et qu'il n'est pas occupé par le propriétaire (CGI, art. 156, I-3°) ;</w:t>
      </w:r>
    </w:p>
    <w:p w:rsidR="00830EA7" w:rsidRPr="00830EA7" w:rsidRDefault="00830EA7" w:rsidP="00095D06">
      <w:pPr>
        <w:pStyle w:val="Paragraphedeliste"/>
        <w:numPr>
          <w:ilvl w:val="0"/>
          <w:numId w:val="14"/>
        </w:numPr>
      </w:pPr>
      <w:r w:rsidRPr="00830EA7">
        <w:t>soit pour partie du revenu foncier et pour partie du revenu global, lorsque l'immeuble procure des recettes mais est occupé en partie par son propriétaire.</w:t>
      </w:r>
    </w:p>
    <w:p w:rsidR="00830EA7" w:rsidRDefault="00095D06" w:rsidP="00095D06">
      <w:pPr>
        <w:pStyle w:val="Titre1"/>
      </w:pPr>
      <w:bookmarkStart w:id="8" w:name="_Toc63670670"/>
      <w:bookmarkStart w:id="9" w:name="_Toc63670692"/>
      <w:bookmarkStart w:id="10" w:name="_Toc63670764"/>
      <w:bookmarkStart w:id="11" w:name="_Toc63763208"/>
      <w:r>
        <w:t>Conditions</w:t>
      </w:r>
      <w:bookmarkEnd w:id="8"/>
      <w:bookmarkEnd w:id="9"/>
      <w:bookmarkEnd w:id="10"/>
      <w:bookmarkEnd w:id="11"/>
    </w:p>
    <w:p w:rsidR="00095D06" w:rsidRDefault="00095D06" w:rsidP="00095D06"/>
    <w:p w:rsidR="00830EA7" w:rsidRPr="00830EA7" w:rsidRDefault="003612DD" w:rsidP="00095D06">
      <w:r>
        <w:t xml:space="preserve">Deux  </w:t>
      </w:r>
      <w:r w:rsidR="00830EA7" w:rsidRPr="00830EA7">
        <w:t>conditions tenant à :</w:t>
      </w:r>
    </w:p>
    <w:p w:rsidR="00B11F50" w:rsidRDefault="00830EA7" w:rsidP="00F031C1">
      <w:pPr>
        <w:pStyle w:val="Paragraphedeliste"/>
        <w:numPr>
          <w:ilvl w:val="1"/>
          <w:numId w:val="9"/>
        </w:numPr>
      </w:pPr>
      <w:r w:rsidRPr="00830EA7">
        <w:t xml:space="preserve">l'engagement de conserver la propriété de l'immeuble concerné pendant une période d'au moins quinze années à compter de son acquisition, </w:t>
      </w:r>
    </w:p>
    <w:p w:rsidR="00830EA7" w:rsidRPr="00830EA7" w:rsidRDefault="00830EA7" w:rsidP="00F031C1">
      <w:pPr>
        <w:pStyle w:val="Paragraphedeliste"/>
        <w:numPr>
          <w:ilvl w:val="1"/>
          <w:numId w:val="9"/>
        </w:numPr>
      </w:pPr>
      <w:r w:rsidRPr="00830EA7">
        <w:t xml:space="preserve">la détention directe de l'immeuble, sous réserve d'exceptions </w:t>
      </w:r>
      <w:r w:rsidR="00B11F50">
        <w:t xml:space="preserve">pour les </w:t>
      </w:r>
      <w:proofErr w:type="spellStart"/>
      <w:r w:rsidR="00B11F50">
        <w:t>sci</w:t>
      </w:r>
      <w:proofErr w:type="spellEnd"/>
    </w:p>
    <w:p w:rsidR="00C4083E" w:rsidRDefault="00C4083E">
      <w:pPr>
        <w:ind w:left="0"/>
        <w:jc w:val="left"/>
      </w:pPr>
      <w:r>
        <w:br w:type="page"/>
      </w:r>
    </w:p>
    <w:p w:rsidR="00830EA7" w:rsidRPr="00830EA7" w:rsidRDefault="00830EA7" w:rsidP="00FE72AE">
      <w:pPr>
        <w:pStyle w:val="Titre1"/>
      </w:pPr>
      <w:bookmarkStart w:id="12" w:name="_Toc63670673"/>
      <w:bookmarkStart w:id="13" w:name="_Toc63670695"/>
      <w:bookmarkStart w:id="14" w:name="_Toc63670767"/>
      <w:bookmarkStart w:id="15" w:name="_Toc63763209"/>
      <w:r w:rsidRPr="00830EA7">
        <w:lastRenderedPageBreak/>
        <w:t>Modalités de déduction</w:t>
      </w:r>
      <w:bookmarkEnd w:id="12"/>
      <w:bookmarkEnd w:id="13"/>
      <w:bookmarkEnd w:id="14"/>
      <w:bookmarkEnd w:id="15"/>
    </w:p>
    <w:p w:rsidR="00830EA7" w:rsidRPr="00830EA7" w:rsidRDefault="00830EA7" w:rsidP="00095D06"/>
    <w:p w:rsidR="00830EA7" w:rsidRPr="00830EA7" w:rsidRDefault="00830EA7" w:rsidP="001F27FC">
      <w:pPr>
        <w:pStyle w:val="Titre2"/>
      </w:pPr>
      <w:bookmarkStart w:id="16" w:name="_Toc63670674"/>
      <w:bookmarkStart w:id="17" w:name="_Toc63670696"/>
      <w:bookmarkStart w:id="18" w:name="_Toc63670768"/>
      <w:bookmarkStart w:id="19" w:name="_Toc63763210"/>
      <w:r w:rsidRPr="00830EA7">
        <w:t>Immeuble procurant des recettes imposables et non occupé par son propriétaire</w:t>
      </w:r>
      <w:bookmarkEnd w:id="16"/>
      <w:bookmarkEnd w:id="17"/>
      <w:bookmarkEnd w:id="18"/>
      <w:bookmarkEnd w:id="19"/>
    </w:p>
    <w:p w:rsidR="00830EA7" w:rsidRPr="00830EA7" w:rsidRDefault="00830EA7" w:rsidP="005E2036">
      <w:pPr>
        <w:ind w:left="0"/>
      </w:pPr>
    </w:p>
    <w:p w:rsidR="00830EA7" w:rsidRPr="00830EA7" w:rsidRDefault="00830EA7" w:rsidP="005E2036">
      <w:pPr>
        <w:ind w:left="1416"/>
      </w:pPr>
      <w:r w:rsidRPr="00830EA7">
        <w:t>Les règles fixées par l'</w:t>
      </w:r>
      <w:hyperlink r:id="rId11" w:tooltip="art 28 du Code général des impôts du 01/07/1979" w:history="1">
        <w:r w:rsidRPr="005E2036">
          <w:t>article 28 du code général des impôts (CGI)</w:t>
        </w:r>
      </w:hyperlink>
      <w:r w:rsidRPr="00830EA7">
        <w:t>, par l'</w:t>
      </w:r>
      <w:hyperlink r:id="rId12" w:tooltip="art 29 du Code général des impôts du 01/01/2005" w:history="1">
        <w:r w:rsidRPr="005E2036">
          <w:t>article 29 du CGI</w:t>
        </w:r>
      </w:hyperlink>
      <w:r w:rsidRPr="00830EA7">
        <w:t>, par l'</w:t>
      </w:r>
      <w:hyperlink r:id="rId13" w:tooltip="art 30 du Code général des impôts du 01/01/2005" w:history="1">
        <w:r w:rsidRPr="005E2036">
          <w:t>article 30 du CGI</w:t>
        </w:r>
      </w:hyperlink>
      <w:r w:rsidRPr="00830EA7">
        <w:t> et par l'</w:t>
      </w:r>
      <w:hyperlink r:id="rId14" w:tooltip="art 31 du Code général des impôts du 25/11/2018" w:history="1">
        <w:r w:rsidRPr="005E2036">
          <w:t>article 31 du CGI</w:t>
        </w:r>
      </w:hyperlink>
      <w:r w:rsidRPr="00830EA7">
        <w:t> pour les revenus fonciers sont applicables si l'immeuble donne lieu à la perception de recettes imposables et n'est pas occupé par son propriétaire.</w:t>
      </w:r>
    </w:p>
    <w:p w:rsidR="00830EA7" w:rsidRPr="00830EA7" w:rsidRDefault="00830EA7" w:rsidP="005E2036">
      <w:pPr>
        <w:ind w:left="1416"/>
      </w:pPr>
      <w:r w:rsidRPr="00830EA7">
        <w:t>Cette situation peut se rencontrer dans les cas suivants :</w:t>
      </w:r>
    </w:p>
    <w:p w:rsidR="00830EA7" w:rsidRPr="00830EA7" w:rsidRDefault="00830EA7" w:rsidP="005E2036">
      <w:pPr>
        <w:pStyle w:val="Paragraphedeliste"/>
        <w:numPr>
          <w:ilvl w:val="0"/>
          <w:numId w:val="19"/>
        </w:numPr>
      </w:pPr>
      <w:r w:rsidRPr="00830EA7">
        <w:t>immeubles loués en totalité ;</w:t>
      </w:r>
    </w:p>
    <w:p w:rsidR="00830EA7" w:rsidRPr="00830EA7" w:rsidRDefault="00830EA7" w:rsidP="005E2036">
      <w:pPr>
        <w:pStyle w:val="Paragraphedeliste"/>
        <w:numPr>
          <w:ilvl w:val="0"/>
          <w:numId w:val="19"/>
        </w:numPr>
      </w:pPr>
      <w:r w:rsidRPr="00830EA7">
        <w:t>immeubles qui ne sont pas donnés en location mais qui donnent lieu à la perception de recettes accessoires (droits d'entrée notamment) sans que le propriétaire les occupe.</w:t>
      </w:r>
    </w:p>
    <w:p w:rsidR="00830EA7" w:rsidRPr="00C4083E" w:rsidRDefault="00830EA7" w:rsidP="005E2036">
      <w:pPr>
        <w:ind w:left="1416"/>
        <w:rPr>
          <w:b/>
        </w:rPr>
      </w:pPr>
      <w:r w:rsidRPr="00C4083E">
        <w:rPr>
          <w:b/>
        </w:rPr>
        <w:t>Par exception aux règles applicables aux immeubles ordinaires, le déficit foncier éventuellement constaté est imputable sur le revenu global sans limite de montant (</w:t>
      </w:r>
      <w:hyperlink r:id="rId15" w:history="1">
        <w:r w:rsidRPr="00C4083E">
          <w:rPr>
            <w:b/>
          </w:rPr>
          <w:t>CGI, art. 156, I-3°</w:t>
        </w:r>
      </w:hyperlink>
      <w:r w:rsidRPr="00C4083E">
        <w:rPr>
          <w:b/>
        </w:rPr>
        <w:t>)</w:t>
      </w:r>
      <w:proofErr w:type="gramStart"/>
      <w:r w:rsidRPr="00C4083E">
        <w:rPr>
          <w:b/>
        </w:rPr>
        <w:t>..</w:t>
      </w:r>
      <w:proofErr w:type="gramEnd"/>
    </w:p>
    <w:p w:rsidR="00830EA7" w:rsidRPr="00C4083E" w:rsidRDefault="00830EA7" w:rsidP="005E2036">
      <w:pPr>
        <w:ind w:left="1416"/>
        <w:rPr>
          <w:b/>
        </w:rPr>
      </w:pPr>
      <w:r w:rsidRPr="00C4083E">
        <w:rPr>
          <w:b/>
        </w:rPr>
        <w:t>L'excédent éventuel constitue un déficit global reportable sur le revenu global des six années suivantes inclusivement.</w:t>
      </w:r>
    </w:p>
    <w:p w:rsidR="00F9086D" w:rsidRPr="00F031C1" w:rsidRDefault="00830EA7" w:rsidP="00F031C1">
      <w:pPr>
        <w:pStyle w:val="Titre3"/>
        <w:rPr>
          <w:kern w:val="36"/>
        </w:rPr>
      </w:pPr>
      <w:r w:rsidRPr="00830EA7">
        <w:rPr>
          <w:kern w:val="36"/>
        </w:rPr>
        <w:t xml:space="preserve"> </w:t>
      </w:r>
      <w:bookmarkStart w:id="20" w:name="_Toc63670675"/>
      <w:bookmarkStart w:id="21" w:name="_Toc63670697"/>
      <w:bookmarkStart w:id="22" w:name="_Toc63670769"/>
      <w:bookmarkStart w:id="23" w:name="_Toc63763211"/>
      <w:r w:rsidRPr="00830EA7">
        <w:rPr>
          <w:kern w:val="36"/>
        </w:rPr>
        <w:t>Immeubles historiques et assimilés donnés en location</w:t>
      </w:r>
      <w:bookmarkEnd w:id="20"/>
      <w:bookmarkEnd w:id="21"/>
      <w:bookmarkEnd w:id="22"/>
      <w:bookmarkEnd w:id="23"/>
    </w:p>
    <w:p w:rsidR="00B11F50" w:rsidRDefault="00B11F50" w:rsidP="005F2733">
      <w:pPr>
        <w:ind w:left="1776"/>
      </w:pPr>
    </w:p>
    <w:p w:rsidR="00830EA7" w:rsidRPr="00830EA7" w:rsidRDefault="00830EA7" w:rsidP="005F2733">
      <w:pPr>
        <w:ind w:left="1776"/>
      </w:pPr>
      <w:r w:rsidRPr="00830EA7">
        <w:t>Lorsque l'immeuble est donné intégralement en location, le propriétaire peut imputer, dans les conditions de droit commun, la totalité des charges foncières qu'il supporte sur le montant des loyers qu'il perçoit.</w:t>
      </w:r>
    </w:p>
    <w:p w:rsidR="00830EA7" w:rsidRPr="00830EA7" w:rsidRDefault="00830EA7" w:rsidP="005F2733">
      <w:pPr>
        <w:ind w:left="1776"/>
      </w:pPr>
      <w:r w:rsidRPr="00830EA7">
        <w:t>Les charges de la propriété susceptibles de générer le déficit foncier sont celles énumérées au 1° du I de l'</w:t>
      </w:r>
      <w:hyperlink r:id="rId16" w:tooltip="art 31 du Code général des impôts du 25/11/2018" w:history="1">
        <w:r w:rsidRPr="005F2733">
          <w:t>article 31 du CGI</w:t>
        </w:r>
      </w:hyperlink>
      <w:r w:rsidRPr="00830EA7">
        <w:t>.</w:t>
      </w:r>
    </w:p>
    <w:p w:rsidR="00830EA7" w:rsidRPr="00830EA7" w:rsidRDefault="00830EA7" w:rsidP="005F2733">
      <w:pPr>
        <w:ind w:left="1776"/>
      </w:pPr>
      <w:r w:rsidRPr="00830EA7">
        <w:t>Il s'agit principalement des dépenses de réparation et d'entretien, les dépenses d'amélioration afférentes à des locaux d'habitation, les impositions autres que celles incombant aux occupants perçues au profit des collectivités territoriales (taxe foncière sur les propriétés bâties principalement), les intérêts d'emprunt et les frais de gestion (rémunération des gardes et concierges, frais de procédure, frais de gérance).</w:t>
      </w:r>
    </w:p>
    <w:p w:rsidR="00830EA7" w:rsidRPr="00830EA7" w:rsidRDefault="00830EA7" w:rsidP="00482741">
      <w:pPr>
        <w:ind w:left="1776"/>
      </w:pPr>
      <w:r w:rsidRPr="00830EA7">
        <w:t xml:space="preserve">S'agissant des primes d'assurance afférentes aux monuments historiques, leur déduction n'est subordonnée à aucune condition </w:t>
      </w:r>
    </w:p>
    <w:p w:rsidR="00830EA7" w:rsidRPr="00830EA7" w:rsidRDefault="00830EA7" w:rsidP="001F27FC">
      <w:pPr>
        <w:ind w:left="1776"/>
      </w:pPr>
      <w:r w:rsidRPr="00830EA7">
        <w:t>Lorsque les travaux ont été dûment autorisés, ils peuvent donner lieu à l'octroi d'une subvention versée soit par l'administration des affaires culturelles, soit par une collectivité publique ou privée.</w:t>
      </w:r>
    </w:p>
    <w:p w:rsidR="00830EA7" w:rsidRPr="00830EA7" w:rsidRDefault="00830EA7" w:rsidP="001F27FC">
      <w:pPr>
        <w:ind w:left="1776"/>
      </w:pPr>
      <w:r w:rsidRPr="00830EA7">
        <w:t>En pareil cas :</w:t>
      </w:r>
    </w:p>
    <w:p w:rsidR="00830EA7" w:rsidRPr="00830EA7" w:rsidRDefault="00830EA7" w:rsidP="001F27FC">
      <w:pPr>
        <w:ind w:left="1776"/>
      </w:pPr>
      <w:r w:rsidRPr="00830EA7">
        <w:t>- les travaux de restauration, d'entretien ou de réparation sont admis intégralement en déduction des revenus de l'année de leur paiement ;</w:t>
      </w:r>
    </w:p>
    <w:p w:rsidR="00F031C1" w:rsidRDefault="00830EA7" w:rsidP="00B11F50">
      <w:pPr>
        <w:ind w:left="1776"/>
      </w:pPr>
      <w:r w:rsidRPr="00830EA7">
        <w:t xml:space="preserve">- la subvention est ajoutée aux recettes de l'année au cours de laquelle elle a été perçue. </w:t>
      </w:r>
    </w:p>
    <w:p w:rsidR="00830EA7" w:rsidRDefault="00830EA7" w:rsidP="004261AA">
      <w:pPr>
        <w:pStyle w:val="Titre3"/>
      </w:pPr>
      <w:bookmarkStart w:id="24" w:name="_Toc63670677"/>
      <w:bookmarkStart w:id="25" w:name="_Toc63670699"/>
      <w:bookmarkStart w:id="26" w:name="_Toc63670771"/>
      <w:bookmarkStart w:id="27" w:name="_Toc63763212"/>
      <w:r w:rsidRPr="00830EA7">
        <w:lastRenderedPageBreak/>
        <w:t>Immeuble ne procurant aucune recette imposable</w:t>
      </w:r>
      <w:bookmarkEnd w:id="24"/>
      <w:bookmarkEnd w:id="25"/>
      <w:bookmarkEnd w:id="26"/>
      <w:r w:rsidR="00B11F50">
        <w:t xml:space="preserve"> dont le propriétaire se réserve la jouissance.</w:t>
      </w:r>
      <w:bookmarkEnd w:id="27"/>
    </w:p>
    <w:p w:rsidR="007E3889" w:rsidRPr="007E3889" w:rsidRDefault="007E3889" w:rsidP="007E3889"/>
    <w:p w:rsidR="00830EA7" w:rsidRPr="00830EA7" w:rsidRDefault="00830EA7" w:rsidP="004261AA">
      <w:pPr>
        <w:ind w:left="1416"/>
      </w:pPr>
      <w:r w:rsidRPr="00830EA7">
        <w:t>Lorsque l'immeuble ne procure aucune recette, les charges foncières qui s'y rapportent sont admises en déduction du revenu global du propriétaire, dans les conditions et proportions fixées à l'</w:t>
      </w:r>
      <w:hyperlink r:id="rId17" w:tooltip="art 41 F du Code général des impôts, annexe 3 du 05/10/2007" w:history="1">
        <w:r w:rsidRPr="007E3889">
          <w:t>article 41 F de l'annexe III au CGI</w:t>
        </w:r>
      </w:hyperlink>
      <w:r w:rsidRPr="00830EA7">
        <w:t>, à l'</w:t>
      </w:r>
      <w:hyperlink r:id="rId18" w:tooltip="art 41 G du Code général des impôts, annexe 3 du 01/07/1979" w:history="1">
        <w:r w:rsidRPr="007E3889">
          <w:t>article 41 G de l'annexe III au CGI</w:t>
        </w:r>
      </w:hyperlink>
      <w:r w:rsidRPr="00830EA7">
        <w:t>, à l'</w:t>
      </w:r>
      <w:hyperlink r:id="rId19" w:tooltip="art 41 I du Code général des impôts, annexe 3 du 30/05/2014" w:history="1">
        <w:r w:rsidRPr="007E3889">
          <w:t>article 41 I de l'annexe III au CGI</w:t>
        </w:r>
      </w:hyperlink>
      <w:r w:rsidRPr="00830EA7">
        <w:t> et  à l'</w:t>
      </w:r>
      <w:hyperlink r:id="rId20" w:tooltip="art 41 I bis du Code général des impôts, annexe 3 du 30/05/2014" w:history="1">
        <w:r w:rsidRPr="007E3889">
          <w:t>article 41 I bis de l'annexe III au CGI</w:t>
        </w:r>
      </w:hyperlink>
      <w:r w:rsidRPr="00830EA7">
        <w:t> (</w:t>
      </w:r>
      <w:hyperlink r:id="rId21" w:tooltip="art 156 du Code général des impôts du 25/11/2018" w:history="1">
        <w:r w:rsidRPr="007E3889">
          <w:t>CGI, art.156, II-1° ter</w:t>
        </w:r>
      </w:hyperlink>
      <w:r w:rsidR="00482741">
        <w:t>) soit 50 % de leur montant</w:t>
      </w:r>
      <w:r w:rsidR="00FC75E9">
        <w:t xml:space="preserve"> si non accessible au public, et 100 % si accessible.</w:t>
      </w:r>
    </w:p>
    <w:p w:rsidR="00977F10" w:rsidRPr="00A363C8" w:rsidRDefault="00830EA7" w:rsidP="004261AA">
      <w:pPr>
        <w:ind w:left="1416"/>
        <w:rPr>
          <w:b/>
          <w:i/>
        </w:rPr>
      </w:pPr>
      <w:r w:rsidRPr="00A363C8">
        <w:rPr>
          <w:b/>
          <w:i/>
        </w:rPr>
        <w:t xml:space="preserve">Lorsque le montant des charges déductibles du revenu global excède le montant de ce revenu, cet excédent ne peut pas dégager un déficit reportable sur le revenu global des années suivantes, contrairement à ce qui est prévu lorsque l'immeuble est productif de recettes imposables </w:t>
      </w:r>
    </w:p>
    <w:p w:rsidR="004261AA" w:rsidRDefault="00830EA7" w:rsidP="0095745D">
      <w:pPr>
        <w:ind w:left="1416"/>
      </w:pPr>
      <w:r w:rsidRPr="00830EA7">
        <w:t>Seuls les propriétaires de monuments historiques qui s'en réservent la jouissance peuvent se prévaloir de cette déduction des charges foncières sur le revenu global.</w:t>
      </w:r>
    </w:p>
    <w:p w:rsidR="00830EA7" w:rsidRDefault="00830EA7" w:rsidP="004B1507">
      <w:pPr>
        <w:pStyle w:val="Titre1"/>
      </w:pPr>
      <w:bookmarkStart w:id="28" w:name="_Toc63670680"/>
      <w:bookmarkStart w:id="29" w:name="_Toc63670702"/>
      <w:bookmarkStart w:id="30" w:name="_Toc63670774"/>
      <w:bookmarkStart w:id="31" w:name="_Toc63763213"/>
      <w:r>
        <w:t>Conditions d'application</w:t>
      </w:r>
      <w:bookmarkEnd w:id="28"/>
      <w:bookmarkEnd w:id="29"/>
      <w:bookmarkEnd w:id="30"/>
      <w:bookmarkEnd w:id="31"/>
    </w:p>
    <w:p w:rsidR="00830EA7" w:rsidRDefault="00830EA7" w:rsidP="00095D06">
      <w:pPr>
        <w:pStyle w:val="paragraphe-western"/>
      </w:pPr>
      <w:r>
        <w:t xml:space="preserve">- l'engagement de conservation de la propriété de l'immeuble concerné pendant une période d'au moins quinze années à compter de son acquisition, </w:t>
      </w:r>
    </w:p>
    <w:p w:rsidR="00830EA7" w:rsidRDefault="00830EA7" w:rsidP="00095D06">
      <w:pPr>
        <w:pStyle w:val="paragraphe-western"/>
      </w:pPr>
      <w:r>
        <w:t xml:space="preserve">- la détention directe de l'immeuble, sous réserve d'exceptions applicables sous conditions </w:t>
      </w:r>
    </w:p>
    <w:p w:rsidR="00830EA7" w:rsidRDefault="00830EA7" w:rsidP="004261AA">
      <w:pPr>
        <w:pStyle w:val="Titre2"/>
      </w:pPr>
      <w:bookmarkStart w:id="32" w:name="_Toc63670681"/>
      <w:bookmarkStart w:id="33" w:name="_Toc63670703"/>
      <w:bookmarkStart w:id="34" w:name="_Toc63670775"/>
      <w:bookmarkStart w:id="35" w:name="_Toc63763214"/>
      <w:r>
        <w:t>Engagement de conservation des immeubles</w:t>
      </w:r>
      <w:bookmarkEnd w:id="32"/>
      <w:bookmarkEnd w:id="33"/>
      <w:bookmarkEnd w:id="34"/>
      <w:bookmarkEnd w:id="35"/>
    </w:p>
    <w:p w:rsidR="00A9025E" w:rsidRDefault="00830EA7" w:rsidP="00A9025E">
      <w:pPr>
        <w:pStyle w:val="paragraphe-western"/>
      </w:pPr>
      <w:r>
        <w:t>Le I de l'</w:t>
      </w:r>
      <w:hyperlink r:id="rId22" w:tooltip="art 156 bis du Code général des impôts du 23/06/2018" w:history="1">
        <w:r w:rsidRPr="004B1507">
          <w:t>article 156 bis du CGI</w:t>
        </w:r>
      </w:hyperlink>
      <w:r>
        <w:t xml:space="preserve"> prévoit que le bénéfice du régime applicable aux propriétaires de monuments historiques et assimilés est subordonné à leur engagement de conserver la propriété des immeubles pendant une période d'au moins quinze années à compter de leur acquisition, </w:t>
      </w:r>
    </w:p>
    <w:p w:rsidR="00830EA7" w:rsidRDefault="00830EA7" w:rsidP="004B1507">
      <w:pPr>
        <w:pStyle w:val="Titre2"/>
        <w:numPr>
          <w:ilvl w:val="0"/>
          <w:numId w:val="0"/>
        </w:numPr>
        <w:ind w:left="576"/>
      </w:pPr>
    </w:p>
    <w:p w:rsidR="00830EA7" w:rsidRDefault="00830EA7" w:rsidP="001F27FC">
      <w:pPr>
        <w:pStyle w:val="Titre2"/>
      </w:pPr>
      <w:bookmarkStart w:id="36" w:name="_Toc63670682"/>
      <w:bookmarkStart w:id="37" w:name="_Toc63670704"/>
      <w:bookmarkStart w:id="38" w:name="_Toc63670776"/>
      <w:bookmarkStart w:id="39" w:name="_Toc63763215"/>
      <w:r>
        <w:t>Conséquences du non-respect de l'engagement de conservation des immeubles</w:t>
      </w:r>
      <w:bookmarkEnd w:id="36"/>
      <w:bookmarkEnd w:id="37"/>
      <w:bookmarkEnd w:id="38"/>
      <w:bookmarkEnd w:id="39"/>
    </w:p>
    <w:p w:rsidR="004B1507" w:rsidRPr="004B1507" w:rsidRDefault="004B1507" w:rsidP="004B1507"/>
    <w:p w:rsidR="00830EA7" w:rsidRDefault="00830EA7" w:rsidP="004B1507">
      <w:pPr>
        <w:pStyle w:val="paragraphe-western"/>
        <w:ind w:left="708"/>
      </w:pPr>
      <w:r>
        <w:t>Le premier alinéa du III de l'</w:t>
      </w:r>
      <w:hyperlink r:id="rId23" w:tooltip="art 156 bis du Code général des impôts du 23/06/2018" w:history="1">
        <w:r w:rsidRPr="004B1507">
          <w:t>article 156 bis du CGI</w:t>
        </w:r>
      </w:hyperlink>
      <w:r>
        <w:t> prévoit qu'en cas de non-respect de l'engagement de conservation des immeubles, le revenu global ou le revenu net foncier de l'année au cours de laquelle l'engagement de conservation n'a pas été respecté et des deux années suivantes est majoré du tiers du montant des charges indûment imputées.</w:t>
      </w:r>
    </w:p>
    <w:p w:rsidR="00830EA7" w:rsidRDefault="00830EA7" w:rsidP="00095D06">
      <w:pPr>
        <w:pStyle w:val="Titre1"/>
      </w:pPr>
      <w:bookmarkStart w:id="40" w:name="_Toc63670683"/>
      <w:bookmarkStart w:id="41" w:name="_Toc63670705"/>
      <w:bookmarkStart w:id="42" w:name="_Toc63670777"/>
      <w:bookmarkStart w:id="43" w:name="_Toc63763216"/>
      <w:r>
        <w:t>Condition tenant au mode de détention des immeubles</w:t>
      </w:r>
      <w:bookmarkEnd w:id="40"/>
      <w:bookmarkEnd w:id="41"/>
      <w:bookmarkEnd w:id="42"/>
      <w:bookmarkEnd w:id="43"/>
    </w:p>
    <w:p w:rsidR="00830EA7" w:rsidRDefault="00830EA7" w:rsidP="004B1507">
      <w:pPr>
        <w:pStyle w:val="numero-de-paragraphe-western"/>
        <w:ind w:left="0"/>
      </w:pPr>
    </w:p>
    <w:p w:rsidR="00830EA7" w:rsidRDefault="00830EA7" w:rsidP="00095D06">
      <w:pPr>
        <w:pStyle w:val="paragraphe-western"/>
      </w:pPr>
      <w:r>
        <w:t>Le II de l'</w:t>
      </w:r>
      <w:hyperlink r:id="rId24" w:tooltip="art 156 bis du Code général des impôts du 23/06/2018" w:history="1">
        <w:r w:rsidRPr="004B1507">
          <w:t>article 156 bis du CGI</w:t>
        </w:r>
      </w:hyperlink>
      <w:r>
        <w:t> prévoit que le bénéfice des dispositions de l'</w:t>
      </w:r>
      <w:hyperlink r:id="rId25" w:history="1">
        <w:r w:rsidRPr="004B1507">
          <w:t>article 156 du CGI</w:t>
        </w:r>
      </w:hyperlink>
      <w:r>
        <w:t xml:space="preserve"> propres aux immeubles historiques et assimilés n'est pas ouvert aux immeubles détenus par des sociétés civiles non soumises à l'impôt sur les sociétés. Partant, seuls les immeubles </w:t>
      </w:r>
      <w:r>
        <w:lastRenderedPageBreak/>
        <w:t>historiques ou assimilés détenus directement par les contribuables ouvrent en principe droit au bénéfice des dispositions de l'article 156 du CGI.</w:t>
      </w:r>
    </w:p>
    <w:p w:rsidR="00830EA7" w:rsidRDefault="00830EA7" w:rsidP="00095D06">
      <w:pPr>
        <w:pStyle w:val="paragraphe-western"/>
      </w:pPr>
      <w:r>
        <w:t>Toutefois, des exceptions à ce principe de détention directe, applicables sous conditions, sont prévues au même II de l'article 156 bis du CGI.</w:t>
      </w:r>
    </w:p>
    <w:p w:rsidR="00830EA7" w:rsidRDefault="00830EA7" w:rsidP="00095D06">
      <w:pPr>
        <w:pStyle w:val="paragraphe-western"/>
      </w:pPr>
      <w:r>
        <w:t>Ces exceptions s'appliquent lorsque la société civile non soumise à l'impôt sur les sociétés :</w:t>
      </w:r>
    </w:p>
    <w:p w:rsidR="00830EA7" w:rsidRDefault="00830EA7" w:rsidP="00095D06">
      <w:pPr>
        <w:pStyle w:val="paragraphe-western"/>
      </w:pPr>
      <w:r>
        <w:t>- est détenue par des associés qui sont membres d'une même famille ;</w:t>
      </w:r>
    </w:p>
    <w:p w:rsidR="00830EA7" w:rsidRDefault="00830EA7" w:rsidP="00095D06">
      <w:pPr>
        <w:pStyle w:val="paragraphe-western"/>
      </w:pPr>
      <w:r>
        <w:t>- ou détient un immeuble affecté, au plus tard dans les deux ans qui suivent son acquisition, à l'habitation pour au moins 75 % de ses surfaces habitables.</w:t>
      </w:r>
    </w:p>
    <w:p w:rsidR="004B1507" w:rsidRDefault="00830EA7" w:rsidP="00B11F50">
      <w:pPr>
        <w:pStyle w:val="paragraphe-western"/>
      </w:pPr>
      <w:r>
        <w:t>Par ailleurs, pour bénéficier de ces exceptions à la détention directe des immeubles historiques et assimilés, les associés de ces sociétés civiles doivent prendre l'engagement de conserver la propriété de leurs parts pendant une pér</w:t>
      </w:r>
      <w:r w:rsidR="00B11F50">
        <w:t xml:space="preserve">iode d'au moins quinze années </w:t>
      </w:r>
    </w:p>
    <w:p w:rsidR="00830EA7" w:rsidRDefault="00830EA7" w:rsidP="00C62A08">
      <w:pPr>
        <w:pStyle w:val="Titre1"/>
      </w:pPr>
      <w:bookmarkStart w:id="44" w:name="_Toc63670686"/>
      <w:bookmarkStart w:id="45" w:name="_Toc63670708"/>
      <w:bookmarkStart w:id="46" w:name="_Toc63670780"/>
      <w:bookmarkStart w:id="47" w:name="_Toc63763217"/>
      <w:r>
        <w:t>Obligations des propriétaires et sanctions</w:t>
      </w:r>
      <w:bookmarkEnd w:id="44"/>
      <w:bookmarkEnd w:id="45"/>
      <w:bookmarkEnd w:id="46"/>
      <w:bookmarkEnd w:id="47"/>
    </w:p>
    <w:p w:rsidR="00830EA7" w:rsidRDefault="00830EA7" w:rsidP="00095D06">
      <w:pPr>
        <w:pStyle w:val="paragraphe-western"/>
      </w:pPr>
      <w:r>
        <w:t>Les propriétaires de monuments historiques et assimilés ne sont astreints à des obligations particulières que s'ils bénéficient du régime spécial de déduction des charges foncières sur le revenu global prévu au 1° ter du II de l'</w:t>
      </w:r>
      <w:hyperlink r:id="rId26" w:tooltip="art 156 du Code général des impôts du 25/11/2018" w:history="1">
        <w:r w:rsidRPr="00C62A08">
          <w:t>article 156 du code général des impôts (CGI)</w:t>
        </w:r>
      </w:hyperlink>
      <w:r>
        <w:t> [imputation directe d'une quote-part des charges foncières sur le revenu global].</w:t>
      </w:r>
    </w:p>
    <w:p w:rsidR="00830EA7" w:rsidRDefault="00830EA7" w:rsidP="00095D06">
      <w:pPr>
        <w:pStyle w:val="paragraphe-western"/>
      </w:pPr>
      <w:r>
        <w:t>Ces obligations sont de deux sortes :</w:t>
      </w:r>
    </w:p>
    <w:p w:rsidR="00830EA7" w:rsidRDefault="00830EA7" w:rsidP="00095D06">
      <w:pPr>
        <w:pStyle w:val="paragraphe-western"/>
      </w:pPr>
      <w:r>
        <w:t>- les premières doivent être observées par tous les propriétaires autorisés à déduire de leur revenu global une partie des charges foncières qu'ils ont supportées ;</w:t>
      </w:r>
    </w:p>
    <w:p w:rsidR="00830EA7" w:rsidRDefault="00830EA7" w:rsidP="00C62A08">
      <w:pPr>
        <w:pStyle w:val="paragraphe-western"/>
      </w:pPr>
      <w:r>
        <w:t>- les secondes ne concernent que les propriétaires d'immeubles historiques ouverts au public.</w:t>
      </w:r>
    </w:p>
    <w:p w:rsidR="00830EA7" w:rsidRDefault="00830EA7" w:rsidP="00095D06">
      <w:pPr>
        <w:pStyle w:val="paragraphe-western"/>
      </w:pPr>
      <w:r>
        <w:t>Ces obligations particulières s'ajoutent à celles qui incombent à tous les propriétaires fonciers, qui doivent notamment justifier de la nature et du montant des dépenses dont la déduction est demandée et respecter leurs obligations déclaratives.</w:t>
      </w:r>
    </w:p>
    <w:p w:rsidR="00830EA7" w:rsidRDefault="00830EA7" w:rsidP="00095D06">
      <w:pPr>
        <w:pStyle w:val="paragraphe-western"/>
      </w:pPr>
      <w:r>
        <w:t>Les propriétaires de monuments historiques doivent souscrire annuellement une déclaration d'ensemble de leurs revenus n° </w:t>
      </w:r>
      <w:hyperlink r:id="rId27" w:history="1">
        <w:r w:rsidRPr="00C62A08">
          <w:t>2042</w:t>
        </w:r>
      </w:hyperlink>
      <w:r>
        <w:t> (CERFA n° 10330) et, le cas échéant, une déclaration de revenus fonciers n° </w:t>
      </w:r>
      <w:hyperlink r:id="rId28" w:history="1">
        <w:r w:rsidRPr="00C62A08">
          <w:t>2044-SPE</w:t>
        </w:r>
      </w:hyperlink>
      <w:r>
        <w:t> (CERFA n° 10335) accessibles en ligne sur le site </w:t>
      </w:r>
      <w:hyperlink r:id="rId29" w:history="1">
        <w:r w:rsidRPr="00C62A08">
          <w:t>www.impots.gouv.fr</w:t>
        </w:r>
      </w:hyperlink>
      <w:r>
        <w:t> :</w:t>
      </w:r>
    </w:p>
    <w:p w:rsidR="00830EA7" w:rsidRPr="00C62A08" w:rsidRDefault="00830EA7" w:rsidP="00095D06">
      <w:pPr>
        <w:pStyle w:val="paragraphe-western"/>
      </w:pPr>
      <w:r w:rsidRPr="00C62A08">
        <w:t>- si l'immeuble procure des recettes imposables : les charges foncières déductibles sont indiquées sur la déclaration n° </w:t>
      </w:r>
      <w:r w:rsidRPr="00C62A08">
        <w:rPr>
          <w:bCs/>
        </w:rPr>
        <w:t>2044-SPE</w:t>
      </w:r>
      <w:r w:rsidRPr="00C62A08">
        <w:t> et, le cas échéant, le déficit foncier constaté est reporté sur la déclaration n° </w:t>
      </w:r>
      <w:r w:rsidRPr="00C62A08">
        <w:rPr>
          <w:bCs/>
        </w:rPr>
        <w:t>2042</w:t>
      </w:r>
      <w:r w:rsidRPr="00C62A08">
        <w:t> (ligne 4BC : « déficit imputable sur le revenu global ») ;</w:t>
      </w:r>
    </w:p>
    <w:p w:rsidR="00830EA7" w:rsidRPr="00C62A08" w:rsidRDefault="00830EA7" w:rsidP="00095D06">
      <w:pPr>
        <w:pStyle w:val="paragraphe-western"/>
      </w:pPr>
      <w:r w:rsidRPr="00C62A08">
        <w:t>- si l'immeuble ne procure aucune recette imposable : les charges déductibles du revenu global sont mentionnées directement sur la déclaration n° </w:t>
      </w:r>
      <w:r w:rsidRPr="00C62A08">
        <w:rPr>
          <w:bCs/>
        </w:rPr>
        <w:t>2042</w:t>
      </w:r>
      <w:r w:rsidRPr="00C62A08">
        <w:t> (ligne 6DD : « déductions diverses ») ;</w:t>
      </w:r>
    </w:p>
    <w:p w:rsidR="00830EA7" w:rsidRDefault="00830EA7" w:rsidP="00095D06">
      <w:pPr>
        <w:pStyle w:val="paragraphe-western"/>
      </w:pPr>
      <w:r w:rsidRPr="00C62A08">
        <w:t>- si l'immeuble procure des recettes imposables tout en étant occupé par son propriétaire : les charges foncières déductibles des revenus fonciers bruts et les charges déductibles du revenu global doivent être ventilées entre les deux déclarations n° </w:t>
      </w:r>
      <w:r w:rsidRPr="00C62A08">
        <w:rPr>
          <w:bCs/>
        </w:rPr>
        <w:t>2042</w:t>
      </w:r>
      <w:r w:rsidRPr="00C62A08">
        <w:t> et n° </w:t>
      </w:r>
      <w:r w:rsidRPr="00C62A08">
        <w:rPr>
          <w:bCs/>
        </w:rPr>
        <w:t>2044-SPE</w:t>
      </w:r>
      <w:r w:rsidRPr="00C62A08">
        <w:t>.</w:t>
      </w:r>
    </w:p>
    <w:p w:rsidR="00BA3377" w:rsidRDefault="00BA3377" w:rsidP="00095D06"/>
    <w:sectPr w:rsidR="00BA3377" w:rsidSect="00C4083E">
      <w:footerReference w:type="default" r:id="rId30"/>
      <w:pgSz w:w="11906" w:h="16838"/>
      <w:pgMar w:top="1134" w:right="566" w:bottom="993" w:left="1417" w:header="708"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E88" w:rsidRDefault="00360E88" w:rsidP="000841D7">
      <w:pPr>
        <w:spacing w:after="0" w:line="240" w:lineRule="auto"/>
      </w:pPr>
      <w:r>
        <w:separator/>
      </w:r>
    </w:p>
  </w:endnote>
  <w:endnote w:type="continuationSeparator" w:id="0">
    <w:p w:rsidR="00360E88" w:rsidRDefault="00360E88" w:rsidP="00084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3E" w:rsidRDefault="00C4083E">
    <w:pPr>
      <w:pStyle w:val="Pieddepage"/>
      <w:pBdr>
        <w:top w:val="thinThickSmallGap" w:sz="24" w:space="1" w:color="622423" w:themeColor="accent2" w:themeShade="7F"/>
      </w:pBdr>
    </w:pPr>
    <w:r>
      <w:t>Fiscalité des monuments historiques</w:t>
    </w:r>
  </w:p>
  <w:p w:rsidR="00C4083E" w:rsidRDefault="00C4083E">
    <w:pPr>
      <w:pStyle w:val="Pieddepage"/>
      <w:pBdr>
        <w:top w:val="thinThickSmallGap" w:sz="24" w:space="1" w:color="622423" w:themeColor="accent2" w:themeShade="7F"/>
      </w:pBdr>
    </w:pPr>
    <w:r>
      <w:ptab w:relativeTo="margin" w:alignment="right" w:leader="none"/>
    </w:r>
    <w:r>
      <w:t xml:space="preserve">Page </w:t>
    </w:r>
    <w:fldSimple w:instr=" PAGE   \* MERGEFORMAT ">
      <w:r w:rsidR="004144A8">
        <w:rPr>
          <w:noProof/>
        </w:rPr>
        <w:t>5</w:t>
      </w:r>
    </w:fldSimple>
  </w:p>
  <w:p w:rsidR="000841D7" w:rsidRDefault="000841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E88" w:rsidRDefault="00360E88" w:rsidP="000841D7">
      <w:pPr>
        <w:spacing w:after="0" w:line="240" w:lineRule="auto"/>
      </w:pPr>
      <w:r>
        <w:separator/>
      </w:r>
    </w:p>
  </w:footnote>
  <w:footnote w:type="continuationSeparator" w:id="0">
    <w:p w:rsidR="00360E88" w:rsidRDefault="00360E88" w:rsidP="00084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2956"/>
    <w:multiLevelType w:val="hybridMultilevel"/>
    <w:tmpl w:val="2B0A644C"/>
    <w:lvl w:ilvl="0" w:tplc="AF4A3B88">
      <w:start w:val="1"/>
      <w:numFmt w:val="low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
    <w:nsid w:val="0E645115"/>
    <w:multiLevelType w:val="hybridMultilevel"/>
    <w:tmpl w:val="5FD62006"/>
    <w:lvl w:ilvl="0" w:tplc="D87492D2">
      <w:start w:val="1"/>
      <w:numFmt w:val="lowerLetter"/>
      <w:pStyle w:val="Titre4"/>
      <w:lvlText w:val="%1)"/>
      <w:lvlJc w:val="left"/>
      <w:pPr>
        <w:ind w:left="1637"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90A39EF"/>
    <w:multiLevelType w:val="hybridMultilevel"/>
    <w:tmpl w:val="6BD662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AE6442"/>
    <w:multiLevelType w:val="hybridMultilevel"/>
    <w:tmpl w:val="E5A8ED76"/>
    <w:lvl w:ilvl="0" w:tplc="040C000B">
      <w:start w:val="1"/>
      <w:numFmt w:val="bullet"/>
      <w:lvlText w:val=""/>
      <w:lvlJc w:val="left"/>
      <w:pPr>
        <w:ind w:left="1152" w:hanging="360"/>
      </w:pPr>
      <w:rPr>
        <w:rFonts w:ascii="Wingdings" w:hAnsi="Wingdings" w:hint="default"/>
      </w:rPr>
    </w:lvl>
    <w:lvl w:ilvl="1" w:tplc="040C0003">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4">
    <w:nsid w:val="26A24A8C"/>
    <w:multiLevelType w:val="hybridMultilevel"/>
    <w:tmpl w:val="0D7EF604"/>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6B34F04"/>
    <w:multiLevelType w:val="hybridMultilevel"/>
    <w:tmpl w:val="9E8A96FA"/>
    <w:lvl w:ilvl="0" w:tplc="040C000B">
      <w:start w:val="1"/>
      <w:numFmt w:val="bullet"/>
      <w:lvlText w:val=""/>
      <w:lvlJc w:val="left"/>
      <w:pPr>
        <w:ind w:left="1152" w:hanging="360"/>
      </w:pPr>
      <w:rPr>
        <w:rFonts w:ascii="Wingdings" w:hAnsi="Wingdings" w:hint="default"/>
      </w:rPr>
    </w:lvl>
    <w:lvl w:ilvl="1" w:tplc="040C000B">
      <w:start w:val="1"/>
      <w:numFmt w:val="bullet"/>
      <w:lvlText w:val=""/>
      <w:lvlJc w:val="left"/>
      <w:pPr>
        <w:ind w:left="1872" w:hanging="360"/>
      </w:pPr>
      <w:rPr>
        <w:rFonts w:ascii="Wingdings" w:hAnsi="Wingdings"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6">
    <w:nsid w:val="27BF09CF"/>
    <w:multiLevelType w:val="hybridMultilevel"/>
    <w:tmpl w:val="14787BF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2C132361"/>
    <w:multiLevelType w:val="hybridMultilevel"/>
    <w:tmpl w:val="E7DCA83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2D6B148E"/>
    <w:multiLevelType w:val="hybridMultilevel"/>
    <w:tmpl w:val="7BE0D010"/>
    <w:lvl w:ilvl="0" w:tplc="040C000B">
      <w:start w:val="1"/>
      <w:numFmt w:val="bullet"/>
      <w:lvlText w:val=""/>
      <w:lvlJc w:val="left"/>
      <w:pPr>
        <w:ind w:left="2232" w:hanging="360"/>
      </w:pPr>
      <w:rPr>
        <w:rFonts w:ascii="Wingdings" w:hAnsi="Wingdings" w:hint="default"/>
      </w:rPr>
    </w:lvl>
    <w:lvl w:ilvl="1" w:tplc="040C0003" w:tentative="1">
      <w:start w:val="1"/>
      <w:numFmt w:val="bullet"/>
      <w:lvlText w:val="o"/>
      <w:lvlJc w:val="left"/>
      <w:pPr>
        <w:ind w:left="2952" w:hanging="360"/>
      </w:pPr>
      <w:rPr>
        <w:rFonts w:ascii="Courier New" w:hAnsi="Courier New" w:cs="Courier New" w:hint="default"/>
      </w:rPr>
    </w:lvl>
    <w:lvl w:ilvl="2" w:tplc="040C0005" w:tentative="1">
      <w:start w:val="1"/>
      <w:numFmt w:val="bullet"/>
      <w:lvlText w:val=""/>
      <w:lvlJc w:val="left"/>
      <w:pPr>
        <w:ind w:left="3672" w:hanging="360"/>
      </w:pPr>
      <w:rPr>
        <w:rFonts w:ascii="Wingdings" w:hAnsi="Wingdings" w:hint="default"/>
      </w:rPr>
    </w:lvl>
    <w:lvl w:ilvl="3" w:tplc="040C0001" w:tentative="1">
      <w:start w:val="1"/>
      <w:numFmt w:val="bullet"/>
      <w:lvlText w:val=""/>
      <w:lvlJc w:val="left"/>
      <w:pPr>
        <w:ind w:left="4392" w:hanging="360"/>
      </w:pPr>
      <w:rPr>
        <w:rFonts w:ascii="Symbol" w:hAnsi="Symbol" w:hint="default"/>
      </w:rPr>
    </w:lvl>
    <w:lvl w:ilvl="4" w:tplc="040C0003" w:tentative="1">
      <w:start w:val="1"/>
      <w:numFmt w:val="bullet"/>
      <w:lvlText w:val="o"/>
      <w:lvlJc w:val="left"/>
      <w:pPr>
        <w:ind w:left="5112" w:hanging="360"/>
      </w:pPr>
      <w:rPr>
        <w:rFonts w:ascii="Courier New" w:hAnsi="Courier New" w:cs="Courier New" w:hint="default"/>
      </w:rPr>
    </w:lvl>
    <w:lvl w:ilvl="5" w:tplc="040C0005" w:tentative="1">
      <w:start w:val="1"/>
      <w:numFmt w:val="bullet"/>
      <w:lvlText w:val=""/>
      <w:lvlJc w:val="left"/>
      <w:pPr>
        <w:ind w:left="5832" w:hanging="360"/>
      </w:pPr>
      <w:rPr>
        <w:rFonts w:ascii="Wingdings" w:hAnsi="Wingdings" w:hint="default"/>
      </w:rPr>
    </w:lvl>
    <w:lvl w:ilvl="6" w:tplc="040C0001" w:tentative="1">
      <w:start w:val="1"/>
      <w:numFmt w:val="bullet"/>
      <w:lvlText w:val=""/>
      <w:lvlJc w:val="left"/>
      <w:pPr>
        <w:ind w:left="6552" w:hanging="360"/>
      </w:pPr>
      <w:rPr>
        <w:rFonts w:ascii="Symbol" w:hAnsi="Symbol" w:hint="default"/>
      </w:rPr>
    </w:lvl>
    <w:lvl w:ilvl="7" w:tplc="040C0003" w:tentative="1">
      <w:start w:val="1"/>
      <w:numFmt w:val="bullet"/>
      <w:lvlText w:val="o"/>
      <w:lvlJc w:val="left"/>
      <w:pPr>
        <w:ind w:left="7272" w:hanging="360"/>
      </w:pPr>
      <w:rPr>
        <w:rFonts w:ascii="Courier New" w:hAnsi="Courier New" w:cs="Courier New" w:hint="default"/>
      </w:rPr>
    </w:lvl>
    <w:lvl w:ilvl="8" w:tplc="040C0005" w:tentative="1">
      <w:start w:val="1"/>
      <w:numFmt w:val="bullet"/>
      <w:lvlText w:val=""/>
      <w:lvlJc w:val="left"/>
      <w:pPr>
        <w:ind w:left="7992" w:hanging="360"/>
      </w:pPr>
      <w:rPr>
        <w:rFonts w:ascii="Wingdings" w:hAnsi="Wingdings" w:hint="default"/>
      </w:rPr>
    </w:lvl>
  </w:abstractNum>
  <w:abstractNum w:abstractNumId="9">
    <w:nsid w:val="462259A4"/>
    <w:multiLevelType w:val="hybridMultilevel"/>
    <w:tmpl w:val="0158D954"/>
    <w:lvl w:ilvl="0" w:tplc="2E5260C6">
      <w:numFmt w:val="bullet"/>
      <w:lvlText w:val="-"/>
      <w:lvlJc w:val="left"/>
      <w:pPr>
        <w:ind w:left="792" w:hanging="360"/>
      </w:pPr>
      <w:rPr>
        <w:rFonts w:ascii="Cambria" w:eastAsiaTheme="minorHAnsi" w:hAnsi="Cambria" w:cstheme="minorBidi"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0">
    <w:nsid w:val="491976DB"/>
    <w:multiLevelType w:val="hybridMultilevel"/>
    <w:tmpl w:val="DE0E4BDC"/>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1">
    <w:nsid w:val="54E813FA"/>
    <w:multiLevelType w:val="hybridMultilevel"/>
    <w:tmpl w:val="4A68FE5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5558631E"/>
    <w:multiLevelType w:val="hybridMultilevel"/>
    <w:tmpl w:val="CA3843C0"/>
    <w:lvl w:ilvl="0" w:tplc="040C000B">
      <w:start w:val="1"/>
      <w:numFmt w:val="bullet"/>
      <w:lvlText w:val=""/>
      <w:lvlJc w:val="left"/>
      <w:pPr>
        <w:ind w:left="1152" w:hanging="360"/>
      </w:pPr>
      <w:rPr>
        <w:rFonts w:ascii="Wingdings" w:hAnsi="Wingdings" w:hint="default"/>
      </w:rPr>
    </w:lvl>
    <w:lvl w:ilvl="1" w:tplc="040C000B">
      <w:start w:val="1"/>
      <w:numFmt w:val="bullet"/>
      <w:lvlText w:val=""/>
      <w:lvlJc w:val="left"/>
      <w:pPr>
        <w:ind w:left="1872" w:hanging="360"/>
      </w:pPr>
      <w:rPr>
        <w:rFonts w:ascii="Wingdings" w:hAnsi="Wingdings" w:hint="default"/>
      </w:rPr>
    </w:lvl>
    <w:lvl w:ilvl="2" w:tplc="9A3EB3A4">
      <w:numFmt w:val="bullet"/>
      <w:lvlText w:val="-"/>
      <w:lvlJc w:val="left"/>
      <w:pPr>
        <w:ind w:left="2592" w:hanging="360"/>
      </w:pPr>
      <w:rPr>
        <w:rFonts w:ascii="Cambria" w:eastAsiaTheme="minorHAnsi" w:hAnsi="Cambria" w:cstheme="minorBidi"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3">
    <w:nsid w:val="5E5C3363"/>
    <w:multiLevelType w:val="multilevel"/>
    <w:tmpl w:val="11EE4A9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50A00C7"/>
    <w:multiLevelType w:val="multilevel"/>
    <w:tmpl w:val="9C06F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4"/>
  </w:num>
  <w:num w:numId="6">
    <w:abstractNumId w:val="13"/>
  </w:num>
  <w:num w:numId="7">
    <w:abstractNumId w:val="13"/>
  </w:num>
  <w:num w:numId="8">
    <w:abstractNumId w:val="13"/>
  </w:num>
  <w:num w:numId="9">
    <w:abstractNumId w:val="12"/>
  </w:num>
  <w:num w:numId="10">
    <w:abstractNumId w:val="9"/>
  </w:num>
  <w:num w:numId="11">
    <w:abstractNumId w:val="10"/>
  </w:num>
  <w:num w:numId="12">
    <w:abstractNumId w:val="8"/>
  </w:num>
  <w:num w:numId="13">
    <w:abstractNumId w:val="3"/>
  </w:num>
  <w:num w:numId="14">
    <w:abstractNumId w:val="4"/>
  </w:num>
  <w:num w:numId="15">
    <w:abstractNumId w:val="7"/>
  </w:num>
  <w:num w:numId="16">
    <w:abstractNumId w:val="5"/>
  </w:num>
  <w:num w:numId="17">
    <w:abstractNumId w:val="13"/>
  </w:num>
  <w:num w:numId="18">
    <w:abstractNumId w:val="11"/>
  </w:num>
  <w:num w:numId="19">
    <w:abstractNumId w:val="6"/>
  </w:num>
  <w:num w:numId="20">
    <w:abstractNumId w:val="1"/>
  </w:num>
  <w:num w:numId="21">
    <w:abstractNumId w:val="1"/>
  </w:num>
  <w:num w:numId="22">
    <w:abstractNumId w:val="1"/>
    <w:lvlOverride w:ilvl="0">
      <w:startOverride w:val="1"/>
    </w:lvlOverride>
  </w:num>
  <w:num w:numId="23">
    <w:abstractNumId w:val="1"/>
  </w:num>
  <w:num w:numId="24">
    <w:abstractNumId w:val="1"/>
  </w:num>
  <w:num w:numId="25">
    <w:abstractNumId w:val="1"/>
    <w:lvlOverride w:ilvl="0">
      <w:startOverride w:val="1"/>
    </w:lvlOverride>
  </w:num>
  <w:num w:numId="26">
    <w:abstractNumId w:val="1"/>
    <w:lvlOverride w:ilvl="0">
      <w:startOverride w:val="1"/>
    </w:lvlOverride>
  </w:num>
  <w:num w:numId="27">
    <w:abstractNumId w:val="0"/>
  </w:num>
  <w:num w:numId="28">
    <w:abstractNumId w:val="1"/>
    <w:lvlOverride w:ilvl="0">
      <w:startOverride w:val="1"/>
    </w:lvlOverride>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830EA7"/>
    <w:rsid w:val="000514D1"/>
    <w:rsid w:val="000841D7"/>
    <w:rsid w:val="00095D06"/>
    <w:rsid w:val="000B7A83"/>
    <w:rsid w:val="001F27FC"/>
    <w:rsid w:val="00261D99"/>
    <w:rsid w:val="002A3642"/>
    <w:rsid w:val="002A7682"/>
    <w:rsid w:val="002B0D4F"/>
    <w:rsid w:val="00360E88"/>
    <w:rsid w:val="003612DD"/>
    <w:rsid w:val="004144A8"/>
    <w:rsid w:val="004261AA"/>
    <w:rsid w:val="00456EB3"/>
    <w:rsid w:val="00482741"/>
    <w:rsid w:val="004B1507"/>
    <w:rsid w:val="005870EC"/>
    <w:rsid w:val="005B586B"/>
    <w:rsid w:val="005E2036"/>
    <w:rsid w:val="005F2733"/>
    <w:rsid w:val="006067D7"/>
    <w:rsid w:val="0065327E"/>
    <w:rsid w:val="006B6314"/>
    <w:rsid w:val="006D2075"/>
    <w:rsid w:val="0072142C"/>
    <w:rsid w:val="007B3421"/>
    <w:rsid w:val="007E3889"/>
    <w:rsid w:val="007E5231"/>
    <w:rsid w:val="00830EA7"/>
    <w:rsid w:val="00924F1B"/>
    <w:rsid w:val="00936B4D"/>
    <w:rsid w:val="0095745D"/>
    <w:rsid w:val="00977F10"/>
    <w:rsid w:val="009A037E"/>
    <w:rsid w:val="009B65B1"/>
    <w:rsid w:val="009C7EE0"/>
    <w:rsid w:val="009D63C3"/>
    <w:rsid w:val="00A363C8"/>
    <w:rsid w:val="00A8159B"/>
    <w:rsid w:val="00A9025E"/>
    <w:rsid w:val="00AB606A"/>
    <w:rsid w:val="00AC0501"/>
    <w:rsid w:val="00B11F50"/>
    <w:rsid w:val="00B20545"/>
    <w:rsid w:val="00BA3377"/>
    <w:rsid w:val="00C4083E"/>
    <w:rsid w:val="00C62A08"/>
    <w:rsid w:val="00C6635B"/>
    <w:rsid w:val="00C77BFB"/>
    <w:rsid w:val="00C824D4"/>
    <w:rsid w:val="00CF43C3"/>
    <w:rsid w:val="00D0197A"/>
    <w:rsid w:val="00D0763A"/>
    <w:rsid w:val="00DE10E8"/>
    <w:rsid w:val="00E46035"/>
    <w:rsid w:val="00F031C1"/>
    <w:rsid w:val="00F650CD"/>
    <w:rsid w:val="00F6539F"/>
    <w:rsid w:val="00F806AB"/>
    <w:rsid w:val="00F9086D"/>
    <w:rsid w:val="00FB196C"/>
    <w:rsid w:val="00FC6EFB"/>
    <w:rsid w:val="00FC75E9"/>
    <w:rsid w:val="00FE72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06"/>
    <w:pPr>
      <w:ind w:left="432"/>
      <w:jc w:val="both"/>
    </w:pPr>
    <w:rPr>
      <w:rFonts w:asciiTheme="majorHAnsi" w:hAnsiTheme="majorHAnsi"/>
      <w:lang w:eastAsia="fr-FR"/>
    </w:rPr>
  </w:style>
  <w:style w:type="paragraph" w:styleId="Titre1">
    <w:name w:val="heading 1"/>
    <w:basedOn w:val="Normal"/>
    <w:next w:val="Normal"/>
    <w:link w:val="Titre1Car"/>
    <w:uiPriority w:val="9"/>
    <w:qFormat/>
    <w:rsid w:val="006D2075"/>
    <w:pPr>
      <w:keepNext/>
      <w:keepLines/>
      <w:numPr>
        <w:numId w:val="8"/>
      </w:numPr>
      <w:shd w:val="clear" w:color="auto" w:fill="1F497D" w:themeFill="text2"/>
      <w:spacing w:before="480" w:after="0"/>
      <w:outlineLvl w:val="0"/>
    </w:pPr>
    <w:rPr>
      <w:rFonts w:eastAsiaTheme="majorEastAsia" w:cstheme="majorBidi"/>
      <w:b/>
      <w:bCs/>
      <w:i/>
      <w:color w:val="FFFFFF" w:themeColor="background1"/>
      <w:sz w:val="28"/>
      <w:szCs w:val="28"/>
    </w:rPr>
  </w:style>
  <w:style w:type="paragraph" w:styleId="Titre2">
    <w:name w:val="heading 2"/>
    <w:basedOn w:val="Normal"/>
    <w:next w:val="Normal"/>
    <w:link w:val="Titre2Car"/>
    <w:autoRedefine/>
    <w:uiPriority w:val="9"/>
    <w:unhideWhenUsed/>
    <w:qFormat/>
    <w:rsid w:val="004261AA"/>
    <w:pPr>
      <w:keepNext/>
      <w:keepLines/>
      <w:numPr>
        <w:ilvl w:val="1"/>
        <w:numId w:val="8"/>
      </w:numPr>
      <w:spacing w:before="200" w:after="0"/>
      <w:outlineLvl w:val="1"/>
    </w:pPr>
    <w:rPr>
      <w:rFonts w:eastAsiaTheme="majorEastAsia" w:cstheme="majorBidi"/>
      <w:b/>
      <w:bCs/>
      <w:i/>
      <w:color w:val="1F497D" w:themeColor="text2"/>
      <w:sz w:val="24"/>
      <w:szCs w:val="26"/>
      <w:u w:val="single"/>
    </w:rPr>
  </w:style>
  <w:style w:type="paragraph" w:styleId="Titre3">
    <w:name w:val="heading 3"/>
    <w:basedOn w:val="Normal"/>
    <w:next w:val="Normal"/>
    <w:link w:val="Titre3Car"/>
    <w:autoRedefine/>
    <w:uiPriority w:val="9"/>
    <w:unhideWhenUsed/>
    <w:qFormat/>
    <w:rsid w:val="001F27FC"/>
    <w:pPr>
      <w:keepNext/>
      <w:keepLines/>
      <w:numPr>
        <w:ilvl w:val="2"/>
        <w:numId w:val="8"/>
      </w:numPr>
      <w:spacing w:after="0" w:line="240" w:lineRule="auto"/>
      <w:ind w:left="1428"/>
      <w:outlineLvl w:val="2"/>
    </w:pPr>
    <w:rPr>
      <w:rFonts w:eastAsiaTheme="majorEastAsia" w:cstheme="majorBidi"/>
      <w:b/>
      <w:bCs/>
      <w:color w:val="1F497D" w:themeColor="text2"/>
    </w:rPr>
  </w:style>
  <w:style w:type="paragraph" w:styleId="Titre4">
    <w:name w:val="heading 4"/>
    <w:basedOn w:val="Normal"/>
    <w:next w:val="Normal"/>
    <w:link w:val="Titre4Car"/>
    <w:autoRedefine/>
    <w:uiPriority w:val="9"/>
    <w:unhideWhenUsed/>
    <w:qFormat/>
    <w:rsid w:val="007E3889"/>
    <w:pPr>
      <w:keepNext/>
      <w:keepLines/>
      <w:numPr>
        <w:numId w:val="22"/>
      </w:numPr>
      <w:spacing w:before="200" w:after="0"/>
      <w:outlineLvl w:val="3"/>
    </w:pPr>
    <w:rPr>
      <w:rFonts w:eastAsiaTheme="majorEastAsia" w:cstheme="majorBidi"/>
      <w:b/>
      <w:bCs/>
      <w:i/>
      <w:iCs/>
      <w:color w:val="1F497D" w:themeColor="text2"/>
    </w:rPr>
  </w:style>
  <w:style w:type="paragraph" w:styleId="Titre5">
    <w:name w:val="heading 5"/>
    <w:basedOn w:val="Normal"/>
    <w:link w:val="Titre5Car"/>
    <w:uiPriority w:val="9"/>
    <w:qFormat/>
    <w:rsid w:val="00830EA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2075"/>
    <w:rPr>
      <w:rFonts w:asciiTheme="majorHAnsi" w:eastAsiaTheme="majorEastAsia" w:hAnsiTheme="majorHAnsi" w:cstheme="majorBidi"/>
      <w:b/>
      <w:bCs/>
      <w:i/>
      <w:color w:val="FFFFFF" w:themeColor="background1"/>
      <w:sz w:val="28"/>
      <w:szCs w:val="28"/>
      <w:shd w:val="clear" w:color="auto" w:fill="1F497D" w:themeFill="text2"/>
      <w:lang w:eastAsia="fr-FR"/>
    </w:rPr>
  </w:style>
  <w:style w:type="character" w:customStyle="1" w:styleId="Titre2Car">
    <w:name w:val="Titre 2 Car"/>
    <w:basedOn w:val="Policepardfaut"/>
    <w:link w:val="Titre2"/>
    <w:uiPriority w:val="9"/>
    <w:rsid w:val="004261AA"/>
    <w:rPr>
      <w:rFonts w:asciiTheme="majorHAnsi" w:eastAsiaTheme="majorEastAsia" w:hAnsiTheme="majorHAnsi" w:cstheme="majorBidi"/>
      <w:b/>
      <w:bCs/>
      <w:i/>
      <w:color w:val="1F497D" w:themeColor="text2"/>
      <w:sz w:val="24"/>
      <w:szCs w:val="26"/>
      <w:u w:val="single"/>
      <w:lang w:eastAsia="fr-FR"/>
    </w:rPr>
  </w:style>
  <w:style w:type="character" w:customStyle="1" w:styleId="Titre3Car">
    <w:name w:val="Titre 3 Car"/>
    <w:basedOn w:val="Policepardfaut"/>
    <w:link w:val="Titre3"/>
    <w:uiPriority w:val="9"/>
    <w:rsid w:val="001F27FC"/>
    <w:rPr>
      <w:rFonts w:asciiTheme="majorHAnsi" w:eastAsiaTheme="majorEastAsia" w:hAnsiTheme="majorHAnsi" w:cstheme="majorBidi"/>
      <w:b/>
      <w:bCs/>
      <w:color w:val="1F497D" w:themeColor="text2"/>
      <w:lang w:eastAsia="fr-FR"/>
    </w:rPr>
  </w:style>
  <w:style w:type="character" w:customStyle="1" w:styleId="Titre4Car">
    <w:name w:val="Titre 4 Car"/>
    <w:basedOn w:val="Policepardfaut"/>
    <w:link w:val="Titre4"/>
    <w:uiPriority w:val="9"/>
    <w:rsid w:val="007E3889"/>
    <w:rPr>
      <w:rFonts w:asciiTheme="majorHAnsi" w:eastAsiaTheme="majorEastAsia" w:hAnsiTheme="majorHAnsi" w:cstheme="majorBidi"/>
      <w:b/>
      <w:bCs/>
      <w:i/>
      <w:iCs/>
      <w:color w:val="1F497D" w:themeColor="text2"/>
      <w:lang w:eastAsia="fr-FR"/>
    </w:rPr>
  </w:style>
  <w:style w:type="paragraph" w:styleId="TM1">
    <w:name w:val="toc 1"/>
    <w:basedOn w:val="Normal"/>
    <w:next w:val="Normal"/>
    <w:autoRedefine/>
    <w:uiPriority w:val="39"/>
    <w:unhideWhenUsed/>
    <w:qFormat/>
    <w:rsid w:val="006D2075"/>
    <w:pPr>
      <w:spacing w:before="120" w:after="0"/>
      <w:ind w:left="0"/>
      <w:jc w:val="left"/>
    </w:pPr>
    <w:rPr>
      <w:rFonts w:asciiTheme="minorHAnsi" w:hAnsiTheme="minorHAnsi" w:cstheme="minorHAnsi"/>
      <w:b/>
      <w:bCs/>
      <w:i/>
      <w:iCs/>
      <w:sz w:val="24"/>
      <w:szCs w:val="24"/>
    </w:rPr>
  </w:style>
  <w:style w:type="paragraph" w:styleId="TM2">
    <w:name w:val="toc 2"/>
    <w:basedOn w:val="Normal"/>
    <w:next w:val="Normal"/>
    <w:autoRedefine/>
    <w:uiPriority w:val="39"/>
    <w:unhideWhenUsed/>
    <w:qFormat/>
    <w:rsid w:val="006D2075"/>
    <w:pPr>
      <w:spacing w:before="120" w:after="0"/>
      <w:ind w:left="220"/>
      <w:jc w:val="left"/>
    </w:pPr>
    <w:rPr>
      <w:rFonts w:asciiTheme="minorHAnsi" w:hAnsiTheme="minorHAnsi" w:cstheme="minorHAnsi"/>
      <w:b/>
      <w:bCs/>
    </w:rPr>
  </w:style>
  <w:style w:type="paragraph" w:styleId="TM3">
    <w:name w:val="toc 3"/>
    <w:basedOn w:val="Normal"/>
    <w:next w:val="Normal"/>
    <w:autoRedefine/>
    <w:uiPriority w:val="39"/>
    <w:unhideWhenUsed/>
    <w:qFormat/>
    <w:rsid w:val="006D2075"/>
    <w:pPr>
      <w:spacing w:after="0"/>
      <w:ind w:left="440"/>
      <w:jc w:val="left"/>
    </w:pPr>
    <w:rPr>
      <w:rFonts w:asciiTheme="minorHAnsi" w:hAnsiTheme="minorHAnsi" w:cstheme="minorHAnsi"/>
      <w:sz w:val="20"/>
      <w:szCs w:val="20"/>
    </w:rPr>
  </w:style>
  <w:style w:type="character" w:styleId="Accentuation">
    <w:name w:val="Emphasis"/>
    <w:basedOn w:val="Policepardfaut"/>
    <w:uiPriority w:val="20"/>
    <w:qFormat/>
    <w:rsid w:val="006D2075"/>
    <w:rPr>
      <w:i/>
      <w:iCs/>
    </w:rPr>
  </w:style>
  <w:style w:type="paragraph" w:styleId="En-ttedetabledesmatires">
    <w:name w:val="TOC Heading"/>
    <w:basedOn w:val="Titre1"/>
    <w:next w:val="Normal"/>
    <w:uiPriority w:val="39"/>
    <w:unhideWhenUsed/>
    <w:qFormat/>
    <w:rsid w:val="006D2075"/>
    <w:pPr>
      <w:numPr>
        <w:numId w:val="0"/>
      </w:numPr>
      <w:shd w:val="clear" w:color="auto" w:fill="auto"/>
      <w:outlineLvl w:val="9"/>
    </w:pPr>
    <w:rPr>
      <w:i w:val="0"/>
      <w:color w:val="365F91" w:themeColor="accent1" w:themeShade="BF"/>
    </w:rPr>
  </w:style>
  <w:style w:type="paragraph" w:customStyle="1" w:styleId="numero-de-paragraphe-western">
    <w:name w:val="numero-de-paragraphe-western"/>
    <w:basedOn w:val="Normal"/>
    <w:rsid w:val="0083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western">
    <w:name w:val="paragraphe-western"/>
    <w:basedOn w:val="Normal"/>
    <w:rsid w:val="00830EA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30EA7"/>
    <w:rPr>
      <w:color w:val="0000FF"/>
      <w:u w:val="single"/>
    </w:rPr>
  </w:style>
  <w:style w:type="paragraph" w:customStyle="1" w:styleId="remarque-western">
    <w:name w:val="remarque-western"/>
    <w:basedOn w:val="Normal"/>
    <w:rsid w:val="00830EA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30EA7"/>
    <w:rPr>
      <w:b/>
      <w:bCs/>
    </w:rPr>
  </w:style>
  <w:style w:type="paragraph" w:customStyle="1" w:styleId="rescrit-western">
    <w:name w:val="rescrit-western"/>
    <w:basedOn w:val="Normal"/>
    <w:rsid w:val="0083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prudence-western">
    <w:name w:val="jurisprudence-western"/>
    <w:basedOn w:val="Normal"/>
    <w:rsid w:val="0083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e-western">
    <w:name w:val="qe-western"/>
    <w:basedOn w:val="Normal"/>
    <w:rsid w:val="0083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rsid w:val="00830EA7"/>
    <w:rPr>
      <w:rFonts w:ascii="Times New Roman" w:eastAsia="Times New Roman" w:hAnsi="Times New Roman" w:cs="Times New Roman"/>
      <w:b/>
      <w:bCs/>
      <w:sz w:val="20"/>
      <w:szCs w:val="20"/>
      <w:lang w:eastAsia="fr-FR"/>
    </w:rPr>
  </w:style>
  <w:style w:type="paragraph" w:customStyle="1" w:styleId="exemple-western">
    <w:name w:val="exemple-western"/>
    <w:basedOn w:val="Normal"/>
    <w:rsid w:val="0083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osition-temporelle-western">
    <w:name w:val="disposition-temporelle-western"/>
    <w:basedOn w:val="Normal"/>
    <w:rsid w:val="00830EA7"/>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95D06"/>
    <w:pPr>
      <w:ind w:left="720"/>
      <w:contextualSpacing/>
    </w:pPr>
  </w:style>
  <w:style w:type="paragraph" w:styleId="Sansinterligne">
    <w:name w:val="No Spacing"/>
    <w:link w:val="SansinterligneCar"/>
    <w:uiPriority w:val="1"/>
    <w:qFormat/>
    <w:rsid w:val="00AB606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B606A"/>
    <w:rPr>
      <w:rFonts w:eastAsiaTheme="minorEastAsia"/>
    </w:rPr>
  </w:style>
  <w:style w:type="paragraph" w:styleId="Textedebulles">
    <w:name w:val="Balloon Text"/>
    <w:basedOn w:val="Normal"/>
    <w:link w:val="TextedebullesCar"/>
    <w:uiPriority w:val="99"/>
    <w:semiHidden/>
    <w:unhideWhenUsed/>
    <w:rsid w:val="00AB6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06A"/>
    <w:rPr>
      <w:rFonts w:ascii="Tahoma" w:hAnsi="Tahoma" w:cs="Tahoma"/>
      <w:sz w:val="16"/>
      <w:szCs w:val="16"/>
      <w:lang w:eastAsia="fr-FR"/>
    </w:rPr>
  </w:style>
  <w:style w:type="paragraph" w:styleId="TM4">
    <w:name w:val="toc 4"/>
    <w:basedOn w:val="Normal"/>
    <w:next w:val="Normal"/>
    <w:autoRedefine/>
    <w:uiPriority w:val="39"/>
    <w:unhideWhenUsed/>
    <w:rsid w:val="0072142C"/>
    <w:pPr>
      <w:spacing w:after="0"/>
      <w:ind w:left="660"/>
      <w:jc w:val="left"/>
    </w:pPr>
    <w:rPr>
      <w:rFonts w:asciiTheme="minorHAnsi" w:hAnsiTheme="minorHAnsi" w:cstheme="minorHAnsi"/>
      <w:sz w:val="20"/>
      <w:szCs w:val="20"/>
    </w:rPr>
  </w:style>
  <w:style w:type="paragraph" w:styleId="TM5">
    <w:name w:val="toc 5"/>
    <w:basedOn w:val="Normal"/>
    <w:next w:val="Normal"/>
    <w:autoRedefine/>
    <w:uiPriority w:val="39"/>
    <w:unhideWhenUsed/>
    <w:rsid w:val="0072142C"/>
    <w:pPr>
      <w:spacing w:after="0"/>
      <w:ind w:left="880"/>
      <w:jc w:val="left"/>
    </w:pPr>
    <w:rPr>
      <w:rFonts w:asciiTheme="minorHAnsi" w:hAnsiTheme="minorHAnsi" w:cstheme="minorHAnsi"/>
      <w:sz w:val="20"/>
      <w:szCs w:val="20"/>
    </w:rPr>
  </w:style>
  <w:style w:type="paragraph" w:styleId="TM6">
    <w:name w:val="toc 6"/>
    <w:basedOn w:val="Normal"/>
    <w:next w:val="Normal"/>
    <w:autoRedefine/>
    <w:uiPriority w:val="39"/>
    <w:unhideWhenUsed/>
    <w:rsid w:val="0072142C"/>
    <w:pPr>
      <w:spacing w:after="0"/>
      <w:ind w:left="110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72142C"/>
    <w:pPr>
      <w:spacing w:after="0"/>
      <w:ind w:left="132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72142C"/>
    <w:pPr>
      <w:spacing w:after="0"/>
      <w:ind w:left="154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72142C"/>
    <w:pPr>
      <w:spacing w:after="0"/>
      <w:ind w:left="1760"/>
      <w:jc w:val="left"/>
    </w:pPr>
    <w:rPr>
      <w:rFonts w:asciiTheme="minorHAnsi" w:hAnsiTheme="minorHAnsi" w:cstheme="minorHAnsi"/>
      <w:sz w:val="20"/>
      <w:szCs w:val="20"/>
    </w:rPr>
  </w:style>
  <w:style w:type="paragraph" w:styleId="En-tte">
    <w:name w:val="header"/>
    <w:basedOn w:val="Normal"/>
    <w:link w:val="En-tteCar"/>
    <w:uiPriority w:val="99"/>
    <w:semiHidden/>
    <w:unhideWhenUsed/>
    <w:rsid w:val="000841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41D7"/>
    <w:rPr>
      <w:rFonts w:asciiTheme="majorHAnsi" w:hAnsiTheme="majorHAnsi"/>
      <w:lang w:eastAsia="fr-FR"/>
    </w:rPr>
  </w:style>
  <w:style w:type="paragraph" w:styleId="Pieddepage">
    <w:name w:val="footer"/>
    <w:basedOn w:val="Normal"/>
    <w:link w:val="PieddepageCar"/>
    <w:uiPriority w:val="99"/>
    <w:unhideWhenUsed/>
    <w:rsid w:val="000841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1D7"/>
    <w:rPr>
      <w:rFonts w:asciiTheme="majorHAnsi" w:hAnsiTheme="majorHAnsi"/>
      <w:lang w:eastAsia="fr-FR"/>
    </w:rPr>
  </w:style>
</w:styles>
</file>

<file path=word/webSettings.xml><?xml version="1.0" encoding="utf-8"?>
<w:webSettings xmlns:r="http://schemas.openxmlformats.org/officeDocument/2006/relationships" xmlns:w="http://schemas.openxmlformats.org/wordprocessingml/2006/main">
  <w:divs>
    <w:div w:id="211233447">
      <w:bodyDiv w:val="1"/>
      <w:marLeft w:val="0"/>
      <w:marRight w:val="0"/>
      <w:marTop w:val="0"/>
      <w:marBottom w:val="0"/>
      <w:divBdr>
        <w:top w:val="none" w:sz="0" w:space="0" w:color="auto"/>
        <w:left w:val="none" w:sz="0" w:space="0" w:color="auto"/>
        <w:bottom w:val="none" w:sz="0" w:space="0" w:color="auto"/>
        <w:right w:val="none" w:sz="0" w:space="0" w:color="auto"/>
      </w:divBdr>
      <w:divsChild>
        <w:div w:id="1784884848">
          <w:marLeft w:val="0"/>
          <w:marRight w:val="0"/>
          <w:marTop w:val="0"/>
          <w:marBottom w:val="0"/>
          <w:divBdr>
            <w:top w:val="none" w:sz="0" w:space="0" w:color="auto"/>
            <w:left w:val="none" w:sz="0" w:space="0" w:color="auto"/>
            <w:bottom w:val="none" w:sz="0" w:space="0" w:color="auto"/>
            <w:right w:val="none" w:sz="0" w:space="0" w:color="auto"/>
          </w:divBdr>
          <w:divsChild>
            <w:div w:id="1825775611">
              <w:blockQuote w:val="1"/>
              <w:marLeft w:val="240"/>
              <w:marRight w:val="0"/>
              <w:marTop w:val="0"/>
              <w:marBottom w:val="120"/>
              <w:divBdr>
                <w:top w:val="none" w:sz="0" w:space="0" w:color="auto"/>
                <w:left w:val="none" w:sz="0" w:space="0" w:color="auto"/>
                <w:bottom w:val="none" w:sz="0" w:space="0" w:color="auto"/>
                <w:right w:val="none" w:sz="0" w:space="0" w:color="auto"/>
              </w:divBdr>
              <w:divsChild>
                <w:div w:id="415130157">
                  <w:blockQuote w:val="1"/>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26991703">
      <w:bodyDiv w:val="1"/>
      <w:marLeft w:val="0"/>
      <w:marRight w:val="0"/>
      <w:marTop w:val="0"/>
      <w:marBottom w:val="0"/>
      <w:divBdr>
        <w:top w:val="none" w:sz="0" w:space="0" w:color="auto"/>
        <w:left w:val="none" w:sz="0" w:space="0" w:color="auto"/>
        <w:bottom w:val="none" w:sz="0" w:space="0" w:color="auto"/>
        <w:right w:val="none" w:sz="0" w:space="0" w:color="auto"/>
      </w:divBdr>
      <w:divsChild>
        <w:div w:id="1580096296">
          <w:marLeft w:val="0"/>
          <w:marRight w:val="0"/>
          <w:marTop w:val="0"/>
          <w:marBottom w:val="0"/>
          <w:divBdr>
            <w:top w:val="none" w:sz="0" w:space="0" w:color="auto"/>
            <w:left w:val="none" w:sz="0" w:space="0" w:color="auto"/>
            <w:bottom w:val="none" w:sz="0" w:space="0" w:color="auto"/>
            <w:right w:val="none" w:sz="0" w:space="0" w:color="auto"/>
          </w:divBdr>
        </w:div>
      </w:divsChild>
    </w:div>
    <w:div w:id="537937067">
      <w:bodyDiv w:val="1"/>
      <w:marLeft w:val="0"/>
      <w:marRight w:val="0"/>
      <w:marTop w:val="0"/>
      <w:marBottom w:val="0"/>
      <w:divBdr>
        <w:top w:val="none" w:sz="0" w:space="0" w:color="auto"/>
        <w:left w:val="none" w:sz="0" w:space="0" w:color="auto"/>
        <w:bottom w:val="none" w:sz="0" w:space="0" w:color="auto"/>
        <w:right w:val="none" w:sz="0" w:space="0" w:color="auto"/>
      </w:divBdr>
      <w:divsChild>
        <w:div w:id="1288387535">
          <w:marLeft w:val="0"/>
          <w:marRight w:val="0"/>
          <w:marTop w:val="0"/>
          <w:marBottom w:val="0"/>
          <w:divBdr>
            <w:top w:val="none" w:sz="0" w:space="0" w:color="auto"/>
            <w:left w:val="none" w:sz="0" w:space="0" w:color="auto"/>
            <w:bottom w:val="none" w:sz="0" w:space="0" w:color="auto"/>
            <w:right w:val="none" w:sz="0" w:space="0" w:color="auto"/>
          </w:divBdr>
        </w:div>
      </w:divsChild>
    </w:div>
    <w:div w:id="624510878">
      <w:bodyDiv w:val="1"/>
      <w:marLeft w:val="0"/>
      <w:marRight w:val="0"/>
      <w:marTop w:val="0"/>
      <w:marBottom w:val="0"/>
      <w:divBdr>
        <w:top w:val="none" w:sz="0" w:space="0" w:color="auto"/>
        <w:left w:val="none" w:sz="0" w:space="0" w:color="auto"/>
        <w:bottom w:val="none" w:sz="0" w:space="0" w:color="auto"/>
        <w:right w:val="none" w:sz="0" w:space="0" w:color="auto"/>
      </w:divBdr>
      <w:divsChild>
        <w:div w:id="1858881892">
          <w:marLeft w:val="0"/>
          <w:marRight w:val="0"/>
          <w:marTop w:val="0"/>
          <w:marBottom w:val="0"/>
          <w:divBdr>
            <w:top w:val="none" w:sz="0" w:space="0" w:color="auto"/>
            <w:left w:val="none" w:sz="0" w:space="0" w:color="auto"/>
            <w:bottom w:val="none" w:sz="0" w:space="0" w:color="auto"/>
            <w:right w:val="none" w:sz="0" w:space="0" w:color="auto"/>
          </w:divBdr>
          <w:divsChild>
            <w:div w:id="1043678215">
              <w:blockQuote w:val="1"/>
              <w:marLeft w:val="240"/>
              <w:marRight w:val="0"/>
              <w:marTop w:val="0"/>
              <w:marBottom w:val="120"/>
              <w:divBdr>
                <w:top w:val="none" w:sz="0" w:space="0" w:color="auto"/>
                <w:left w:val="none" w:sz="0" w:space="0" w:color="auto"/>
                <w:bottom w:val="none" w:sz="0" w:space="0" w:color="auto"/>
                <w:right w:val="none" w:sz="0" w:space="0" w:color="auto"/>
              </w:divBdr>
            </w:div>
            <w:div w:id="1743411653">
              <w:blockQuote w:val="1"/>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958298784">
      <w:bodyDiv w:val="1"/>
      <w:marLeft w:val="0"/>
      <w:marRight w:val="0"/>
      <w:marTop w:val="0"/>
      <w:marBottom w:val="0"/>
      <w:divBdr>
        <w:top w:val="none" w:sz="0" w:space="0" w:color="auto"/>
        <w:left w:val="none" w:sz="0" w:space="0" w:color="auto"/>
        <w:bottom w:val="none" w:sz="0" w:space="0" w:color="auto"/>
        <w:right w:val="none" w:sz="0" w:space="0" w:color="auto"/>
      </w:divBdr>
      <w:divsChild>
        <w:div w:id="543949912">
          <w:marLeft w:val="0"/>
          <w:marRight w:val="0"/>
          <w:marTop w:val="0"/>
          <w:marBottom w:val="0"/>
          <w:divBdr>
            <w:top w:val="none" w:sz="0" w:space="0" w:color="auto"/>
            <w:left w:val="none" w:sz="0" w:space="0" w:color="auto"/>
            <w:bottom w:val="none" w:sz="0" w:space="0" w:color="auto"/>
            <w:right w:val="none" w:sz="0" w:space="0" w:color="auto"/>
          </w:divBdr>
        </w:div>
      </w:divsChild>
    </w:div>
    <w:div w:id="1011641488">
      <w:bodyDiv w:val="1"/>
      <w:marLeft w:val="0"/>
      <w:marRight w:val="0"/>
      <w:marTop w:val="0"/>
      <w:marBottom w:val="0"/>
      <w:divBdr>
        <w:top w:val="none" w:sz="0" w:space="0" w:color="auto"/>
        <w:left w:val="none" w:sz="0" w:space="0" w:color="auto"/>
        <w:bottom w:val="none" w:sz="0" w:space="0" w:color="auto"/>
        <w:right w:val="none" w:sz="0" w:space="0" w:color="auto"/>
      </w:divBdr>
      <w:divsChild>
        <w:div w:id="1747798393">
          <w:marLeft w:val="0"/>
          <w:marRight w:val="0"/>
          <w:marTop w:val="0"/>
          <w:marBottom w:val="0"/>
          <w:divBdr>
            <w:top w:val="none" w:sz="0" w:space="0" w:color="auto"/>
            <w:left w:val="none" w:sz="0" w:space="0" w:color="auto"/>
            <w:bottom w:val="none" w:sz="0" w:space="0" w:color="auto"/>
            <w:right w:val="none" w:sz="0" w:space="0" w:color="auto"/>
          </w:divBdr>
          <w:divsChild>
            <w:div w:id="26873832">
              <w:blockQuote w:val="1"/>
              <w:marLeft w:val="240"/>
              <w:marRight w:val="0"/>
              <w:marTop w:val="0"/>
              <w:marBottom w:val="120"/>
              <w:divBdr>
                <w:top w:val="none" w:sz="0" w:space="0" w:color="auto"/>
                <w:left w:val="none" w:sz="0" w:space="0" w:color="auto"/>
                <w:bottom w:val="none" w:sz="0" w:space="0" w:color="auto"/>
                <w:right w:val="none" w:sz="0" w:space="0" w:color="auto"/>
              </w:divBdr>
            </w:div>
            <w:div w:id="1097291903">
              <w:blockQuote w:val="1"/>
              <w:marLeft w:val="240"/>
              <w:marRight w:val="0"/>
              <w:marTop w:val="0"/>
              <w:marBottom w:val="120"/>
              <w:divBdr>
                <w:top w:val="none" w:sz="0" w:space="0" w:color="auto"/>
                <w:left w:val="none" w:sz="0" w:space="0" w:color="auto"/>
                <w:bottom w:val="none" w:sz="0" w:space="0" w:color="auto"/>
                <w:right w:val="none" w:sz="0" w:space="0" w:color="auto"/>
              </w:divBdr>
            </w:div>
            <w:div w:id="884490067">
              <w:blockQuote w:val="1"/>
              <w:marLeft w:val="240"/>
              <w:marRight w:val="0"/>
              <w:marTop w:val="0"/>
              <w:marBottom w:val="120"/>
              <w:divBdr>
                <w:top w:val="none" w:sz="0" w:space="0" w:color="auto"/>
                <w:left w:val="none" w:sz="0" w:space="0" w:color="auto"/>
                <w:bottom w:val="none" w:sz="0" w:space="0" w:color="auto"/>
                <w:right w:val="none" w:sz="0" w:space="0" w:color="auto"/>
              </w:divBdr>
            </w:div>
            <w:div w:id="1584101830">
              <w:blockQuote w:val="1"/>
              <w:marLeft w:val="240"/>
              <w:marRight w:val="0"/>
              <w:marTop w:val="0"/>
              <w:marBottom w:val="120"/>
              <w:divBdr>
                <w:top w:val="none" w:sz="0" w:space="0" w:color="auto"/>
                <w:left w:val="none" w:sz="0" w:space="0" w:color="auto"/>
                <w:bottom w:val="none" w:sz="0" w:space="0" w:color="auto"/>
                <w:right w:val="none" w:sz="0" w:space="0" w:color="auto"/>
              </w:divBdr>
            </w:div>
            <w:div w:id="1059090723">
              <w:blockQuote w:val="1"/>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258363661">
      <w:bodyDiv w:val="1"/>
      <w:marLeft w:val="0"/>
      <w:marRight w:val="0"/>
      <w:marTop w:val="0"/>
      <w:marBottom w:val="0"/>
      <w:divBdr>
        <w:top w:val="none" w:sz="0" w:space="0" w:color="auto"/>
        <w:left w:val="none" w:sz="0" w:space="0" w:color="auto"/>
        <w:bottom w:val="none" w:sz="0" w:space="0" w:color="auto"/>
        <w:right w:val="none" w:sz="0" w:space="0" w:color="auto"/>
      </w:divBdr>
      <w:divsChild>
        <w:div w:id="579675567">
          <w:marLeft w:val="0"/>
          <w:marRight w:val="0"/>
          <w:marTop w:val="0"/>
          <w:marBottom w:val="0"/>
          <w:divBdr>
            <w:top w:val="none" w:sz="0" w:space="0" w:color="auto"/>
            <w:left w:val="none" w:sz="0" w:space="0" w:color="auto"/>
            <w:bottom w:val="none" w:sz="0" w:space="0" w:color="auto"/>
            <w:right w:val="none" w:sz="0" w:space="0" w:color="auto"/>
          </w:divBdr>
        </w:div>
      </w:divsChild>
    </w:div>
    <w:div w:id="1824934026">
      <w:bodyDiv w:val="1"/>
      <w:marLeft w:val="0"/>
      <w:marRight w:val="0"/>
      <w:marTop w:val="0"/>
      <w:marBottom w:val="0"/>
      <w:divBdr>
        <w:top w:val="none" w:sz="0" w:space="0" w:color="auto"/>
        <w:left w:val="none" w:sz="0" w:space="0" w:color="auto"/>
        <w:bottom w:val="none" w:sz="0" w:space="0" w:color="auto"/>
        <w:right w:val="none" w:sz="0" w:space="0" w:color="auto"/>
      </w:divBdr>
      <w:divsChild>
        <w:div w:id="63144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codes/article_lc/LEGIARTI000006302234/2005-01-01" TargetMode="External"/><Relationship Id="rId18" Type="http://schemas.openxmlformats.org/officeDocument/2006/relationships/hyperlink" Target="https://www.legifrance.gouv.fr/codes/article_lc/LEGIARTI000006297964/1979-07-01" TargetMode="External"/><Relationship Id="rId26" Type="http://schemas.openxmlformats.org/officeDocument/2006/relationships/hyperlink" Target="https://www.legifrance.gouv.fr/codes/article_lc/LEGIARTI000037671023/2018-11-25" TargetMode="External"/><Relationship Id="rId3" Type="http://schemas.openxmlformats.org/officeDocument/2006/relationships/numbering" Target="numbering.xml"/><Relationship Id="rId21" Type="http://schemas.openxmlformats.org/officeDocument/2006/relationships/hyperlink" Target="https://www.legifrance.gouv.fr/codes/article_lc/LEGIARTI000037671023/2018-11-25" TargetMode="External"/><Relationship Id="rId7" Type="http://schemas.openxmlformats.org/officeDocument/2006/relationships/footnotes" Target="footnotes.xml"/><Relationship Id="rId12" Type="http://schemas.openxmlformats.org/officeDocument/2006/relationships/hyperlink" Target="https://www.legifrance.gouv.fr/codes/article_lc/LEGIARTI000006302231/2005-01-01" TargetMode="External"/><Relationship Id="rId17" Type="http://schemas.openxmlformats.org/officeDocument/2006/relationships/hyperlink" Target="https://www.legifrance.gouv.fr/codes/article_lc/LEGIARTI000006296729/2007-10-05" TargetMode="External"/><Relationship Id="rId25" Type="http://schemas.openxmlformats.org/officeDocument/2006/relationships/hyperlink" Target="https://www.legifrance.gouv.fr/affichCodeArticle.do;jsessionid=9F1FA86FEF2131380469F44AE18ED5DC.tplgfr26s_3?idArticle=LEGIARTI000037671023&amp;cidTexte=LEGITEXT000006069577&amp;categorieLien=id&amp;dateTexte=" TargetMode="External"/><Relationship Id="rId2" Type="http://schemas.openxmlformats.org/officeDocument/2006/relationships/customXml" Target="../customXml/item2.xml"/><Relationship Id="rId16" Type="http://schemas.openxmlformats.org/officeDocument/2006/relationships/hyperlink" Target="https://www.legifrance.gouv.fr/codes/article_lc/LEGIARTI000037671087/2018-11-25" TargetMode="External"/><Relationship Id="rId20" Type="http://schemas.openxmlformats.org/officeDocument/2006/relationships/hyperlink" Target="https://www.legifrance.gouv.fr/codes/article_lc/LEGIARTI000029043625/2014-05-30" TargetMode="External"/><Relationship Id="rId29" Type="http://schemas.openxmlformats.org/officeDocument/2006/relationships/hyperlink" Target="https://www.impots.gouv.fr/port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codes/article_lc/LEGIARTI000006302228/1979-07-01" TargetMode="External"/><Relationship Id="rId24" Type="http://schemas.openxmlformats.org/officeDocument/2006/relationships/hyperlink" Target="https://www.legifrance.gouv.fr/codes/article_lc/LEGIARTI000037099838/2018-06-2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france.gouv.fr/affichCodeArticle.do;jsessionid=9F1FA86FEF2131380469F44AE18ED5DC.tplgfr26s_3?idArticle=LEGIARTI000037671023&amp;cidTexte=LEGITEXT000006069577&amp;categorieLien=id&amp;dateTexte=" TargetMode="External"/><Relationship Id="rId23" Type="http://schemas.openxmlformats.org/officeDocument/2006/relationships/hyperlink" Target="https://www.legifrance.gouv.fr/codes/article_lc/LEGIARTI000037099838/2018-06-23" TargetMode="External"/><Relationship Id="rId28" Type="http://schemas.openxmlformats.org/officeDocument/2006/relationships/hyperlink" Target="https://www.impots.gouv.fr/portail/formulaire/2044/declaration-des-revenus-fonciers" TargetMode="External"/><Relationship Id="rId10" Type="http://schemas.openxmlformats.org/officeDocument/2006/relationships/image" Target="media/image2.gif"/><Relationship Id="rId19" Type="http://schemas.openxmlformats.org/officeDocument/2006/relationships/hyperlink" Target="https://www.legifrance.gouv.fr/codes/article_lc/LEGIARTI000029043628/2014-05-3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legifrance.gouv.fr/codes/article_lc/LEGIARTI000037671087/2018-11-25" TargetMode="External"/><Relationship Id="rId22" Type="http://schemas.openxmlformats.org/officeDocument/2006/relationships/hyperlink" Target="https://www.legifrance.gouv.fr/codes/article_lc/LEGIARTI000037099838/2018-06-23" TargetMode="External"/><Relationship Id="rId27" Type="http://schemas.openxmlformats.org/officeDocument/2006/relationships/hyperlink" Target="https://www.impots.gouv.fr/portail/formulaire/2042/declaration-des-revenus"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9CE50-F372-49E9-B75A-4BE2A9A8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10724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Frnce INVESTISSEMENT</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CLERCdipl</dc:creator>
  <cp:lastModifiedBy>laurence</cp:lastModifiedBy>
  <cp:revision>2</cp:revision>
  <cp:lastPrinted>2021-02-09T08:42:00Z</cp:lastPrinted>
  <dcterms:created xsi:type="dcterms:W3CDTF">2021-02-09T15:34:00Z</dcterms:created>
  <dcterms:modified xsi:type="dcterms:W3CDTF">2021-02-09T15:34:00Z</dcterms:modified>
</cp:coreProperties>
</file>